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bookmarkStart w:id="0" w:name="_GoBack"/>
      <w:bookmarkEnd w:id="0"/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：</w:t>
      </w:r>
      <w:r>
        <w:rPr>
          <w:rFonts w:ascii="MicrosoftYaHei-Bold" w:hAnsi="MicrosoftYaHei-Bold" w:eastAsia="MicrosoftYaHei-Bold" w:cs="MicrosoftYaHei-Bold"/>
          <w:b/>
          <w:color w:val="000000"/>
          <w:kern w:val="0"/>
          <w:sz w:val="28"/>
          <w:szCs w:val="28"/>
        </w:rPr>
        <w:t>评分细则</w:t>
      </w:r>
      <w:r>
        <w:rPr>
          <w:rFonts w:hint="eastAsia" w:ascii="MicrosoftYaHei-Bold" w:hAnsi="MicrosoftYaHei-Bold" w:cs="MicrosoftYaHei-Bold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投标单位评分项及分值分数 </w:t>
      </w:r>
    </w:p>
    <w:p>
      <w:pPr>
        <w:widowControl/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 xml:space="preserve">综合评分得分（标准分 100 分） </w:t>
      </w:r>
    </w:p>
    <w:p>
      <w:pPr>
        <w:widowControl/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一、资信技术分（60分）</w:t>
      </w:r>
    </w:p>
    <w:p>
      <w:pPr>
        <w:widowControl/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1 、制造商具有中国名牌或中国驰名商标（4分），最高得 4 分；</w:t>
      </w:r>
    </w:p>
    <w:p>
      <w:pPr>
        <w:widowControl/>
        <w:numPr>
          <w:ilvl w:val="0"/>
          <w:numId w:val="1"/>
        </w:numPr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 xml:space="preserve">投标方案（0-12 分）：投标人对投标产品有先进技术性或专利的，最高得 12 分。 </w:t>
      </w:r>
    </w:p>
    <w:p>
      <w:pPr>
        <w:widowControl/>
        <w:numPr>
          <w:ilvl w:val="0"/>
          <w:numId w:val="1"/>
        </w:numPr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 xml:space="preserve">供货期（0-6 分）：不符合招标条件的根据工期长短酌情给 0-3 分，符合招标条件的根据工期长短酌情给 3-6 分。 </w:t>
      </w:r>
    </w:p>
    <w:p>
      <w:pPr>
        <w:widowControl/>
        <w:numPr>
          <w:ilvl w:val="0"/>
          <w:numId w:val="1"/>
        </w:numPr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 xml:space="preserve">付款条件（0-5 分）：不符合招标条件的得 0 分，最高得 5 分。 </w:t>
      </w:r>
    </w:p>
    <w:p>
      <w:pPr>
        <w:widowControl/>
        <w:numPr>
          <w:ilvl w:val="0"/>
          <w:numId w:val="1"/>
        </w:numPr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售后服务方案及承诺（10 分）根据售后服务方案，相关措施及承诺进行评议，酌情给分。被评为优的得 10 分，被评为良的得 7分，被评为中的得 5 分，被评为一般的得 1 分。</w:t>
      </w:r>
    </w:p>
    <w:p>
      <w:pPr>
        <w:widowControl/>
        <w:numPr>
          <w:ilvl w:val="0"/>
          <w:numId w:val="1"/>
        </w:numPr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资信技术分特殊优惠承诺及合理化建议酌情加分(8分)，0-8 分。</w:t>
      </w:r>
    </w:p>
    <w:p>
      <w:pPr>
        <w:widowControl/>
        <w:numPr>
          <w:ilvl w:val="0"/>
          <w:numId w:val="1"/>
        </w:numPr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产品技术的综合评比分（15分），0－15分。</w:t>
      </w:r>
    </w:p>
    <w:p>
      <w:pPr>
        <w:widowControl/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二、商务分（40）</w:t>
      </w:r>
    </w:p>
    <w:p>
      <w:pPr>
        <w:widowControl/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1、基准价=有效报价的算术平均值×98%</w:t>
      </w:r>
    </w:p>
    <w:p>
      <w:pPr>
        <w:widowControl/>
        <w:ind w:firstLine="280" w:firstLineChars="100"/>
        <w:jc w:val="left"/>
        <w:rPr>
          <w:rFonts w:cs="微软雅黑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偏离值=（投标报价-基准价）/基准价×100%</w:t>
      </w:r>
    </w:p>
    <w:p>
      <w:pPr>
        <w:widowControl/>
        <w:ind w:left="279" w:leftChars="133"/>
        <w:jc w:val="left"/>
      </w:pPr>
      <w:r>
        <w:rPr>
          <w:rFonts w:hint="eastAsia" w:cs="微软雅黑" w:asciiTheme="minorEastAsia" w:hAnsiTheme="minorEastAsia"/>
          <w:color w:val="000000"/>
          <w:kern w:val="0"/>
          <w:sz w:val="28"/>
          <w:szCs w:val="28"/>
        </w:rPr>
        <w:t>得分：总分 40 分。超过基准价 1%减 1 分，低于基准价 1%减 0.5 分，以次类推。在计算偏离值时，不足 1%时以四舍五入计算。价格评分设保底分值为 30 分。若评分计算得分低于 30 分的，按 30 分计入。</w:t>
      </w:r>
    </w:p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27"/>
          <w:szCs w:val="27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YaHei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C4A425"/>
    <w:multiLevelType w:val="singleLevel"/>
    <w:tmpl w:val="D7C4A425"/>
    <w:lvl w:ilvl="0" w:tentative="0">
      <w:start w:val="2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129"/>
    <w:rsid w:val="00083C67"/>
    <w:rsid w:val="0009295E"/>
    <w:rsid w:val="001B5B37"/>
    <w:rsid w:val="00266E9C"/>
    <w:rsid w:val="00321BE2"/>
    <w:rsid w:val="00331B20"/>
    <w:rsid w:val="003A6963"/>
    <w:rsid w:val="003C380F"/>
    <w:rsid w:val="003D7706"/>
    <w:rsid w:val="00457E34"/>
    <w:rsid w:val="0069076C"/>
    <w:rsid w:val="006B7A6A"/>
    <w:rsid w:val="00781A6F"/>
    <w:rsid w:val="00804A7C"/>
    <w:rsid w:val="008268C3"/>
    <w:rsid w:val="0086476F"/>
    <w:rsid w:val="008C7D5E"/>
    <w:rsid w:val="00953A6A"/>
    <w:rsid w:val="00A00D09"/>
    <w:rsid w:val="00AC5CA1"/>
    <w:rsid w:val="00B46679"/>
    <w:rsid w:val="00B8271A"/>
    <w:rsid w:val="00BC4129"/>
    <w:rsid w:val="00C63EC9"/>
    <w:rsid w:val="00EC2FBF"/>
    <w:rsid w:val="00F50C05"/>
    <w:rsid w:val="00F5453B"/>
    <w:rsid w:val="00F65F0E"/>
    <w:rsid w:val="1B844B27"/>
    <w:rsid w:val="1E82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ody Text Indent"/>
    <w:basedOn w:val="1"/>
    <w:link w:val="10"/>
    <w:uiPriority w:val="0"/>
    <w:pPr>
      <w:spacing w:line="360" w:lineRule="auto"/>
      <w:ind w:left="539" w:leftChars="153"/>
    </w:pPr>
    <w:rPr>
      <w:rFonts w:ascii="仿宋_GB2312" w:hAnsi="Times New Roman" w:eastAsia="仿宋_GB2312" w:cs="Times New Roman"/>
      <w:spacing w:val="16"/>
      <w:sz w:val="24"/>
      <w:szCs w:val="2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3"/>
    <w:qFormat/>
    <w:uiPriority w:val="0"/>
    <w:rPr>
      <w:rFonts w:ascii="仿宋_GB2312" w:hAnsi="Times New Roman" w:eastAsia="仿宋_GB2312" w:cs="Times New Roman"/>
      <w:spacing w:val="16"/>
      <w:sz w:val="24"/>
      <w:szCs w:val="20"/>
    </w:rPr>
  </w:style>
  <w:style w:type="paragraph" w:customStyle="1" w:styleId="11">
    <w:name w:val="默认段落字体 Para Char Char Char Char Char Char Char"/>
    <w:basedOn w:val="2"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cs="Times New Roman"/>
      <w:sz w:val="21"/>
      <w:szCs w:val="20"/>
    </w:rPr>
  </w:style>
  <w:style w:type="character" w:customStyle="1" w:styleId="12">
    <w:name w:val="文档结构图 Char"/>
    <w:basedOn w:val="6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361</Words>
  <Characters>2063</Characters>
  <Lines>17</Lines>
  <Paragraphs>4</Paragraphs>
  <TotalTime>74</TotalTime>
  <ScaleCrop>false</ScaleCrop>
  <LinksUpToDate>false</LinksUpToDate>
  <CharactersWithSpaces>2420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2019-08-10T02:00:00Z</dcterms:created>
  <dc:creator>DELL</dc:creator>
  <cp:lastModifiedBy>张小铤</cp:lastModifiedBy>
  <dcterms:modified xsi:type="dcterms:W3CDTF">2019-08-16T03:37:11Z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