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spacing w:before="47" w:line="237" w:lineRule="exact"/>
        <w:rPr>
          <w:rFonts w:ascii="SimHei" w:hAnsi="SimHei" w:eastAsia="SimHei" w:cs="SimHei"/>
          <w:sz w:val="17"/>
          <w:szCs w:val="17"/>
        </w:rPr>
      </w:pPr>
      <w:r>
        <w:rPr>
          <w:rFonts w:ascii="Arial" w:hAnsi="Arial" w:eastAsia="Arial" w:cs="Arial"/>
          <w:sz w:val="17"/>
          <w:szCs w:val="17"/>
          <w:spacing w:val="-2"/>
          <w:position w:val="3"/>
        </w:rPr>
        <w:t>2026/7/2911:38                               </w:t>
      </w:r>
      <w:r>
        <w:rPr>
          <w:rFonts w:ascii="Arial" w:hAnsi="Arial" w:eastAsia="Arial" w:cs="Arial"/>
          <w:sz w:val="17"/>
          <w:szCs w:val="17"/>
          <w:spacing w:val="-3"/>
          <w:position w:val="3"/>
        </w:rPr>
        <w:t xml:space="preserve">                                      </w:t>
      </w:r>
      <w:r>
        <w:rPr>
          <w:rFonts w:ascii="SimHei" w:hAnsi="SimHei" w:eastAsia="SimHei" w:cs="SimHei"/>
          <w:sz w:val="17"/>
          <w:szCs w:val="17"/>
          <w:spacing w:val="-3"/>
          <w:position w:val="1"/>
        </w:rPr>
        <w:t>福州市晋安区官前路一层一层1#、二层、一层一层2#招租</w:t>
      </w:r>
    </w:p>
    <w:p>
      <w:pPr>
        <w:spacing w:line="282" w:lineRule="auto"/>
        <w:rPr>
          <w:rFonts w:ascii="Arial"/>
          <w:sz w:val="21"/>
        </w:rPr>
      </w:pPr>
      <w:r/>
    </w:p>
    <w:p>
      <w:pPr>
        <w:spacing w:line="282" w:lineRule="auto"/>
        <w:rPr>
          <w:rFonts w:ascii="Arial"/>
          <w:sz w:val="21"/>
        </w:rPr>
      </w:pPr>
      <w:r/>
    </w:p>
    <w:p>
      <w:pPr>
        <w:spacing w:line="283" w:lineRule="auto"/>
        <w:rPr>
          <w:rFonts w:ascii="Arial"/>
          <w:sz w:val="21"/>
        </w:rPr>
      </w:pPr>
      <w:r/>
    </w:p>
    <w:p>
      <w:pPr>
        <w:ind w:left="5304" w:right="617" w:hanging="4559"/>
        <w:spacing w:before="127" w:line="243" w:lineRule="auto"/>
        <w:rPr>
          <w:rFonts w:ascii="SimHei" w:hAnsi="SimHei" w:eastAsia="SimHei" w:cs="SimHei"/>
          <w:sz w:val="39"/>
          <w:szCs w:val="39"/>
        </w:rPr>
      </w:pPr>
      <w:r>
        <w:rPr>
          <w:rFonts w:ascii="SimHei" w:hAnsi="SimHei" w:eastAsia="SimHei" w:cs="SimHei"/>
          <w:sz w:val="39"/>
          <w:szCs w:val="39"/>
          <w:b/>
          <w:bCs/>
        </w:rPr>
        <w:t>福州市晋安区官前路一层一层1#、二层、</w:t>
      </w:r>
      <w:r>
        <w:rPr>
          <w:rFonts w:ascii="SimHei" w:hAnsi="SimHei" w:eastAsia="SimHei" w:cs="SimHei"/>
          <w:sz w:val="39"/>
          <w:szCs w:val="39"/>
          <w:spacing w:val="-107"/>
        </w:rPr>
        <w:t xml:space="preserve"> </w:t>
      </w:r>
      <w:r>
        <w:rPr>
          <w:rFonts w:ascii="SimHei" w:hAnsi="SimHei" w:eastAsia="SimHei" w:cs="SimHei"/>
          <w:sz w:val="39"/>
          <w:szCs w:val="39"/>
          <w:b/>
          <w:bCs/>
        </w:rPr>
        <w:t>一层一层2</w:t>
      </w:r>
      <w:r>
        <w:rPr>
          <w:rFonts w:ascii="SimHei" w:hAnsi="SimHei" w:eastAsia="SimHei" w:cs="SimHei"/>
          <w:sz w:val="39"/>
          <w:szCs w:val="39"/>
          <w:b/>
          <w:bCs/>
          <w:spacing w:val="-1"/>
        </w:rPr>
        <w:t>#招</w:t>
      </w:r>
      <w:r>
        <w:rPr>
          <w:rFonts w:ascii="SimHei" w:hAnsi="SimHei" w:eastAsia="SimHei" w:cs="SimHei"/>
          <w:sz w:val="39"/>
          <w:szCs w:val="39"/>
        </w:rPr>
        <w:t xml:space="preserve"> </w:t>
      </w:r>
      <w:r>
        <w:rPr>
          <w:rFonts w:ascii="SimHei" w:hAnsi="SimHei" w:eastAsia="SimHei" w:cs="SimHei"/>
          <w:sz w:val="39"/>
          <w:szCs w:val="39"/>
          <w:b/>
          <w:bCs/>
          <w:spacing w:val="-5"/>
        </w:rPr>
        <w:t>租</w:t>
      </w:r>
    </w:p>
    <w:p>
      <w:pPr>
        <w:spacing w:line="140" w:lineRule="exact"/>
        <w:rPr/>
      </w:pPr>
      <w:r/>
    </w:p>
    <w:tbl>
      <w:tblPr>
        <w:tblStyle w:val="TableNormal"/>
        <w:tblW w:w="9639" w:type="dxa"/>
        <w:tblInd w:w="69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402"/>
        <w:gridCol w:w="3057"/>
        <w:gridCol w:w="2407"/>
        <w:gridCol w:w="1773"/>
      </w:tblGrid>
      <w:tr>
        <w:trPr>
          <w:trHeight w:val="593" w:hRule="atLeast"/>
        </w:trPr>
        <w:tc>
          <w:tcPr>
            <w:tcW w:w="2402" w:type="dxa"/>
            <w:vAlign w:val="top"/>
          </w:tcPr>
          <w:p>
            <w:pPr>
              <w:pStyle w:val="TableText"/>
              <w:ind w:left="108"/>
              <w:spacing w:before="182" w:line="220" w:lineRule="auto"/>
              <w:rPr>
                <w:sz w:val="24"/>
                <w:szCs w:val="24"/>
              </w:rPr>
            </w:pPr>
            <w:r>
              <w:rPr>
                <w:sz w:val="24"/>
                <w:szCs w:val="24"/>
                <w:b/>
                <w:bCs/>
                <w:spacing w:val="-5"/>
              </w:rPr>
              <w:t>标的名称</w:t>
            </w:r>
          </w:p>
        </w:tc>
        <w:tc>
          <w:tcPr>
            <w:tcW w:w="7237" w:type="dxa"/>
            <w:vAlign w:val="top"/>
            <w:gridSpan w:val="3"/>
          </w:tcPr>
          <w:p>
            <w:pPr>
              <w:pStyle w:val="TableText"/>
              <w:ind w:left="112"/>
              <w:spacing w:before="183" w:line="219" w:lineRule="auto"/>
              <w:rPr>
                <w:sz w:val="24"/>
                <w:szCs w:val="24"/>
              </w:rPr>
            </w:pPr>
            <w:r>
              <w:rPr>
                <w:sz w:val="24"/>
                <w:szCs w:val="24"/>
                <w:spacing w:val="-1"/>
              </w:rPr>
              <w:t>福州市晋安区官前路一层一层1#、二层、一层一层2#招租</w:t>
            </w:r>
          </w:p>
        </w:tc>
      </w:tr>
      <w:tr>
        <w:trPr>
          <w:trHeight w:val="938" w:hRule="atLeast"/>
        </w:trPr>
        <w:tc>
          <w:tcPr>
            <w:tcW w:w="2402" w:type="dxa"/>
            <w:vAlign w:val="top"/>
          </w:tcPr>
          <w:p>
            <w:pPr>
              <w:spacing w:line="268" w:lineRule="auto"/>
              <w:rPr>
                <w:rFonts w:ascii="Arial"/>
                <w:sz w:val="21"/>
              </w:rPr>
            </w:pPr>
            <w:r/>
          </w:p>
          <w:p>
            <w:pPr>
              <w:pStyle w:val="TableText"/>
              <w:ind w:left="108"/>
              <w:spacing w:before="78" w:line="219" w:lineRule="auto"/>
              <w:rPr>
                <w:sz w:val="24"/>
                <w:szCs w:val="24"/>
              </w:rPr>
            </w:pPr>
            <w:r>
              <w:rPr>
                <w:sz w:val="24"/>
                <w:szCs w:val="24"/>
                <w:b/>
                <w:bCs/>
                <w:spacing w:val="-5"/>
              </w:rPr>
              <w:t>项目编码</w:t>
            </w:r>
          </w:p>
        </w:tc>
        <w:tc>
          <w:tcPr>
            <w:tcW w:w="3057" w:type="dxa"/>
            <w:vAlign w:val="top"/>
          </w:tcPr>
          <w:p>
            <w:pPr>
              <w:spacing w:line="314" w:lineRule="auto"/>
              <w:rPr>
                <w:rFonts w:ascii="Arial"/>
                <w:sz w:val="21"/>
              </w:rPr>
            </w:pPr>
            <w:r/>
          </w:p>
          <w:p>
            <w:pPr>
              <w:pStyle w:val="TableText"/>
              <w:ind w:left="112"/>
              <w:spacing w:before="78" w:line="184" w:lineRule="auto"/>
              <w:rPr>
                <w:sz w:val="24"/>
                <w:szCs w:val="24"/>
              </w:rPr>
            </w:pPr>
            <w:r>
              <w:rPr>
                <w:sz w:val="24"/>
                <w:szCs w:val="24"/>
                <w:spacing w:val="-1"/>
              </w:rPr>
              <w:t>DSCQ2026981C1460376</w:t>
            </w:r>
          </w:p>
        </w:tc>
        <w:tc>
          <w:tcPr>
            <w:tcW w:w="2407" w:type="dxa"/>
            <w:vAlign w:val="top"/>
          </w:tcPr>
          <w:p>
            <w:pPr>
              <w:spacing w:line="266" w:lineRule="auto"/>
              <w:rPr>
                <w:rFonts w:ascii="Arial"/>
                <w:sz w:val="21"/>
              </w:rPr>
            </w:pPr>
            <w:r/>
          </w:p>
          <w:p>
            <w:pPr>
              <w:pStyle w:val="TableText"/>
              <w:ind w:left="109"/>
              <w:spacing w:before="78" w:line="218" w:lineRule="auto"/>
              <w:rPr>
                <w:sz w:val="24"/>
                <w:szCs w:val="24"/>
              </w:rPr>
            </w:pPr>
            <w:r>
              <w:rPr>
                <w:sz w:val="24"/>
                <w:szCs w:val="24"/>
                <w:b/>
                <w:bCs/>
                <w:spacing w:val="-5"/>
              </w:rPr>
              <w:t>挂牌价格</w:t>
            </w:r>
          </w:p>
        </w:tc>
        <w:tc>
          <w:tcPr>
            <w:tcW w:w="1773" w:type="dxa"/>
            <w:vAlign w:val="top"/>
          </w:tcPr>
          <w:p>
            <w:pPr>
              <w:pStyle w:val="TableText"/>
              <w:ind w:left="118" w:right="194"/>
              <w:spacing w:before="179" w:line="266" w:lineRule="auto"/>
              <w:rPr>
                <w:sz w:val="24"/>
                <w:szCs w:val="24"/>
              </w:rPr>
            </w:pPr>
            <w:r>
              <w:rPr>
                <w:sz w:val="24"/>
                <w:szCs w:val="24"/>
              </w:rPr>
              <w:t>52,452.54元/</w:t>
            </w:r>
            <w:r>
              <w:rPr>
                <w:sz w:val="24"/>
                <w:szCs w:val="24"/>
                <w:spacing w:val="8"/>
              </w:rPr>
              <w:t xml:space="preserve"> </w:t>
            </w:r>
            <w:r>
              <w:rPr>
                <w:sz w:val="24"/>
                <w:szCs w:val="24"/>
              </w:rPr>
              <w:t>月</w:t>
            </w:r>
          </w:p>
        </w:tc>
      </w:tr>
      <w:tr>
        <w:trPr>
          <w:trHeight w:val="569" w:hRule="atLeast"/>
        </w:trPr>
        <w:tc>
          <w:tcPr>
            <w:tcW w:w="2402" w:type="dxa"/>
            <w:vAlign w:val="top"/>
          </w:tcPr>
          <w:p>
            <w:pPr>
              <w:pStyle w:val="TableText"/>
              <w:ind w:left="108"/>
              <w:spacing w:before="168" w:line="218" w:lineRule="auto"/>
              <w:rPr>
                <w:sz w:val="24"/>
                <w:szCs w:val="24"/>
              </w:rPr>
            </w:pPr>
            <w:r>
              <w:rPr>
                <w:sz w:val="24"/>
                <w:szCs w:val="24"/>
                <w:b/>
                <w:bCs/>
                <w:spacing w:val="2"/>
              </w:rPr>
              <w:t>价格说明</w:t>
            </w:r>
          </w:p>
        </w:tc>
        <w:tc>
          <w:tcPr>
            <w:tcW w:w="7237" w:type="dxa"/>
            <w:vAlign w:val="top"/>
            <w:gridSpan w:val="3"/>
          </w:tcPr>
          <w:p>
            <w:pPr>
              <w:pStyle w:val="TableText"/>
              <w:ind w:left="112"/>
              <w:spacing w:before="171" w:line="218" w:lineRule="auto"/>
              <w:rPr>
                <w:sz w:val="24"/>
                <w:szCs w:val="24"/>
              </w:rPr>
            </w:pPr>
            <w:r>
              <w:rPr>
                <w:sz w:val="24"/>
                <w:szCs w:val="24"/>
              </w:rPr>
              <w:t>挂牌价格为租赁标的第一年月租金底价</w:t>
            </w:r>
          </w:p>
        </w:tc>
      </w:tr>
      <w:tr>
        <w:trPr>
          <w:trHeight w:val="588" w:hRule="atLeast"/>
        </w:trPr>
        <w:tc>
          <w:tcPr>
            <w:tcW w:w="2402" w:type="dxa"/>
            <w:vAlign w:val="top"/>
          </w:tcPr>
          <w:p>
            <w:pPr>
              <w:pStyle w:val="TableText"/>
              <w:ind w:left="108"/>
              <w:spacing w:before="179" w:line="218" w:lineRule="auto"/>
              <w:rPr>
                <w:sz w:val="24"/>
                <w:szCs w:val="24"/>
              </w:rPr>
            </w:pPr>
            <w:r>
              <w:rPr>
                <w:sz w:val="24"/>
                <w:szCs w:val="24"/>
                <w:b/>
                <w:bCs/>
                <w:spacing w:val="-5"/>
              </w:rPr>
              <w:t>挂牌公告期</w:t>
            </w:r>
          </w:p>
        </w:tc>
        <w:tc>
          <w:tcPr>
            <w:tcW w:w="3057" w:type="dxa"/>
            <w:vAlign w:val="top"/>
          </w:tcPr>
          <w:p>
            <w:pPr>
              <w:pStyle w:val="TableText"/>
              <w:ind w:left="112"/>
              <w:spacing w:before="182" w:line="218" w:lineRule="auto"/>
              <w:rPr>
                <w:sz w:val="24"/>
                <w:szCs w:val="24"/>
              </w:rPr>
            </w:pPr>
            <w:r>
              <w:rPr>
                <w:sz w:val="24"/>
                <w:szCs w:val="24"/>
                <w:spacing w:val="3"/>
              </w:rPr>
              <w:t>自公告之日起15个工作日</w:t>
            </w:r>
          </w:p>
        </w:tc>
        <w:tc>
          <w:tcPr>
            <w:tcW w:w="2407" w:type="dxa"/>
            <w:vAlign w:val="top"/>
          </w:tcPr>
          <w:p>
            <w:pPr>
              <w:pStyle w:val="TableText"/>
              <w:ind w:left="109"/>
              <w:spacing w:before="181" w:line="219" w:lineRule="auto"/>
              <w:rPr>
                <w:sz w:val="24"/>
                <w:szCs w:val="24"/>
              </w:rPr>
            </w:pPr>
            <w:r>
              <w:rPr>
                <w:sz w:val="24"/>
                <w:szCs w:val="24"/>
                <w:b/>
                <w:bCs/>
                <w:spacing w:val="-4"/>
              </w:rPr>
              <w:t>挂牌起始日期</w:t>
            </w:r>
          </w:p>
        </w:tc>
        <w:tc>
          <w:tcPr>
            <w:tcW w:w="1773" w:type="dxa"/>
            <w:vAlign w:val="top"/>
          </w:tcPr>
          <w:p>
            <w:pPr>
              <w:pStyle w:val="TableText"/>
              <w:ind w:left="118"/>
              <w:spacing w:before="208"/>
              <w:rPr>
                <w:sz w:val="24"/>
                <w:szCs w:val="24"/>
              </w:rPr>
            </w:pPr>
            <w:r>
              <w:rPr>
                <w:sz w:val="24"/>
                <w:szCs w:val="24"/>
                <w:spacing w:val="-2"/>
              </w:rPr>
              <w:t>2026-07-29</w:t>
            </w:r>
          </w:p>
        </w:tc>
      </w:tr>
      <w:tr>
        <w:trPr>
          <w:trHeight w:val="579" w:hRule="atLeast"/>
        </w:trPr>
        <w:tc>
          <w:tcPr>
            <w:tcW w:w="2402" w:type="dxa"/>
            <w:vAlign w:val="top"/>
          </w:tcPr>
          <w:p>
            <w:pPr>
              <w:pStyle w:val="TableText"/>
              <w:ind w:left="108"/>
              <w:spacing w:before="174" w:line="220" w:lineRule="auto"/>
              <w:rPr>
                <w:sz w:val="24"/>
                <w:szCs w:val="24"/>
              </w:rPr>
            </w:pPr>
            <w:r>
              <w:rPr>
                <w:sz w:val="24"/>
                <w:szCs w:val="24"/>
                <w:b/>
                <w:bCs/>
                <w:spacing w:val="-5"/>
              </w:rPr>
              <w:t>是否联合出租</w:t>
            </w:r>
          </w:p>
        </w:tc>
        <w:tc>
          <w:tcPr>
            <w:tcW w:w="3057" w:type="dxa"/>
            <w:vAlign w:val="top"/>
          </w:tcPr>
          <w:p>
            <w:pPr>
              <w:pStyle w:val="TableText"/>
              <w:ind w:left="112"/>
              <w:spacing w:before="177" w:line="220" w:lineRule="auto"/>
              <w:rPr>
                <w:sz w:val="24"/>
                <w:szCs w:val="24"/>
              </w:rPr>
            </w:pPr>
            <w:r>
              <w:rPr>
                <w:sz w:val="24"/>
                <w:szCs w:val="24"/>
              </w:rPr>
              <w:t>否</w:t>
            </w:r>
          </w:p>
        </w:tc>
        <w:tc>
          <w:tcPr>
            <w:tcW w:w="2407" w:type="dxa"/>
            <w:vAlign w:val="top"/>
          </w:tcPr>
          <w:p>
            <w:pPr>
              <w:pStyle w:val="TableText"/>
              <w:ind w:left="109"/>
              <w:spacing w:before="173" w:line="219" w:lineRule="auto"/>
              <w:rPr>
                <w:sz w:val="24"/>
                <w:szCs w:val="24"/>
              </w:rPr>
            </w:pPr>
            <w:r>
              <w:rPr>
                <w:sz w:val="24"/>
                <w:szCs w:val="24"/>
                <w:b/>
                <w:bCs/>
                <w:spacing w:val="-4"/>
              </w:rPr>
              <w:t>挂牌截止日期</w:t>
            </w:r>
          </w:p>
        </w:tc>
        <w:tc>
          <w:tcPr>
            <w:tcW w:w="1773" w:type="dxa"/>
            <w:vAlign w:val="top"/>
          </w:tcPr>
          <w:p>
            <w:pPr>
              <w:pStyle w:val="TableText"/>
              <w:ind w:left="118"/>
              <w:spacing w:before="200"/>
              <w:rPr>
                <w:sz w:val="24"/>
                <w:szCs w:val="24"/>
              </w:rPr>
            </w:pPr>
            <w:r>
              <w:rPr>
                <w:sz w:val="24"/>
                <w:szCs w:val="24"/>
                <w:spacing w:val="-2"/>
              </w:rPr>
              <w:t>2026-08-18</w:t>
            </w:r>
          </w:p>
        </w:tc>
      </w:tr>
      <w:tr>
        <w:trPr>
          <w:trHeight w:val="593" w:hRule="atLeast"/>
        </w:trPr>
        <w:tc>
          <w:tcPr>
            <w:tcW w:w="2402" w:type="dxa"/>
            <w:vAlign w:val="top"/>
          </w:tcPr>
          <w:p>
            <w:pPr>
              <w:pStyle w:val="TableText"/>
              <w:ind w:left="108"/>
              <w:spacing w:before="184" w:line="219" w:lineRule="auto"/>
              <w:rPr>
                <w:sz w:val="24"/>
                <w:szCs w:val="24"/>
              </w:rPr>
            </w:pPr>
            <w:r>
              <w:rPr>
                <w:sz w:val="24"/>
                <w:szCs w:val="24"/>
                <w:b/>
                <w:bCs/>
                <w:spacing w:val="-4"/>
              </w:rPr>
              <w:t>是否允许联合承租</w:t>
            </w:r>
          </w:p>
        </w:tc>
        <w:tc>
          <w:tcPr>
            <w:tcW w:w="3057" w:type="dxa"/>
            <w:vAlign w:val="top"/>
          </w:tcPr>
          <w:p>
            <w:pPr>
              <w:pStyle w:val="TableText"/>
              <w:ind w:left="112"/>
              <w:spacing w:before="188" w:line="220" w:lineRule="auto"/>
              <w:rPr>
                <w:sz w:val="24"/>
                <w:szCs w:val="24"/>
              </w:rPr>
            </w:pPr>
            <w:r>
              <w:rPr>
                <w:sz w:val="24"/>
                <w:szCs w:val="24"/>
              </w:rPr>
              <w:t>否</w:t>
            </w:r>
          </w:p>
        </w:tc>
        <w:tc>
          <w:tcPr>
            <w:tcW w:w="2407" w:type="dxa"/>
            <w:vAlign w:val="top"/>
          </w:tcPr>
          <w:p>
            <w:pPr>
              <w:pStyle w:val="TableText"/>
              <w:ind w:left="109"/>
              <w:spacing w:before="184" w:line="219" w:lineRule="auto"/>
              <w:rPr>
                <w:sz w:val="24"/>
                <w:szCs w:val="24"/>
              </w:rPr>
            </w:pPr>
            <w:r>
              <w:rPr>
                <w:sz w:val="24"/>
                <w:szCs w:val="24"/>
                <w:b/>
                <w:bCs/>
                <w:spacing w:val="-5"/>
              </w:rPr>
              <w:t>是否涉及优先权</w:t>
            </w:r>
          </w:p>
        </w:tc>
        <w:tc>
          <w:tcPr>
            <w:tcW w:w="1773" w:type="dxa"/>
            <w:vAlign w:val="top"/>
          </w:tcPr>
          <w:p>
            <w:pPr>
              <w:pStyle w:val="TableText"/>
              <w:ind w:left="118"/>
              <w:spacing w:before="189" w:line="221" w:lineRule="auto"/>
              <w:rPr>
                <w:sz w:val="24"/>
                <w:szCs w:val="24"/>
              </w:rPr>
            </w:pPr>
            <w:r>
              <w:rPr>
                <w:sz w:val="24"/>
                <w:szCs w:val="24"/>
                <w:spacing w:val="4"/>
              </w:rPr>
              <w:t>不涉及</w:t>
            </w:r>
          </w:p>
        </w:tc>
      </w:tr>
    </w:tbl>
    <w:p>
      <w:pPr>
        <w:spacing w:before="88"/>
        <w:rPr/>
      </w:pPr>
      <w:r/>
    </w:p>
    <w:tbl>
      <w:tblPr>
        <w:tblStyle w:val="TableNormal"/>
        <w:tblW w:w="9669" w:type="dxa"/>
        <w:tblInd w:w="69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402"/>
        <w:gridCol w:w="7267"/>
      </w:tblGrid>
      <w:tr>
        <w:trPr>
          <w:trHeight w:val="634" w:hRule="atLeast"/>
        </w:trPr>
        <w:tc>
          <w:tcPr>
            <w:tcW w:w="9669" w:type="dxa"/>
            <w:vAlign w:val="top"/>
            <w:gridSpan w:val="2"/>
          </w:tcPr>
          <w:p>
            <w:pPr>
              <w:pStyle w:val="TableText"/>
              <w:ind w:left="128"/>
              <w:spacing w:before="180" w:line="219" w:lineRule="auto"/>
              <w:rPr>
                <w:sz w:val="28"/>
                <w:szCs w:val="28"/>
              </w:rPr>
            </w:pPr>
            <w:r>
              <w:rPr>
                <w:sz w:val="28"/>
                <w:szCs w:val="28"/>
                <w:b/>
                <w:bCs/>
                <w:spacing w:val="-4"/>
              </w:rPr>
              <w:t>一、标的基本信息</w:t>
            </w:r>
          </w:p>
        </w:tc>
      </w:tr>
      <w:tr>
        <w:trPr>
          <w:trHeight w:val="6602" w:hRule="atLeast"/>
        </w:trPr>
        <w:tc>
          <w:tcPr>
            <w:tcW w:w="2402" w:type="dxa"/>
            <w:vAlign w:val="top"/>
          </w:tcPr>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pStyle w:val="TableText"/>
              <w:ind w:left="108"/>
              <w:spacing w:before="72" w:line="219" w:lineRule="auto"/>
              <w:rPr/>
            </w:pPr>
            <w:r>
              <w:rPr>
                <w:b/>
                <w:bCs/>
                <w:spacing w:val="-5"/>
              </w:rPr>
              <w:t>标的简介</w:t>
            </w:r>
          </w:p>
        </w:tc>
        <w:tc>
          <w:tcPr>
            <w:tcW w:w="7267" w:type="dxa"/>
            <w:vAlign w:val="top"/>
          </w:tcPr>
          <w:p>
            <w:pPr>
              <w:pStyle w:val="TableText"/>
              <w:ind w:left="152" w:right="25"/>
              <w:spacing w:before="199" w:line="233" w:lineRule="auto"/>
              <w:rPr/>
            </w:pPr>
            <w:r>
              <w:rPr>
                <w:spacing w:val="-5"/>
              </w:rPr>
              <w:t>1.租赁标的基本情况：标的为福建海峡纸业有</w:t>
            </w:r>
            <w:r>
              <w:rPr>
                <w:spacing w:val="-6"/>
              </w:rPr>
              <w:t>限公司所持有房产，坐落于晋</w:t>
            </w:r>
            <w:r>
              <w:rPr/>
              <w:t xml:space="preserve"> </w:t>
            </w:r>
            <w:r>
              <w:rPr/>
              <w:t>安区官前路(证载),不动产权证号：闽(2020)福州市不动产权第</w:t>
            </w:r>
          </w:p>
          <w:p>
            <w:pPr>
              <w:pStyle w:val="TableText"/>
              <w:ind w:left="152"/>
              <w:spacing w:before="45" w:line="219" w:lineRule="auto"/>
              <w:rPr/>
            </w:pPr>
            <w:r>
              <w:rPr/>
              <w:t>9017635号，土地性质为划拨，房屋性质为单位自建房，建筑面积：</w:t>
            </w:r>
          </w:p>
          <w:p>
            <w:pPr>
              <w:pStyle w:val="TableText"/>
              <w:ind w:left="152" w:right="165"/>
              <w:spacing w:before="28" w:line="237" w:lineRule="auto"/>
              <w:rPr/>
            </w:pPr>
            <w:r>
              <w:rPr/>
              <w:t>1380.33平方米，宗地面积：1900平方米，证载用途：仓储用地。租赁标</w:t>
            </w:r>
            <w:r>
              <w:rPr>
                <w:spacing w:val="7"/>
              </w:rPr>
              <w:t xml:space="preserve"> </w:t>
            </w:r>
            <w:r>
              <w:rPr/>
              <w:t>的位于福州市晋安区官前路一层一层1#、二层、一层一层2#,楼龄适中，</w:t>
            </w:r>
          </w:p>
          <w:p>
            <w:pPr>
              <w:pStyle w:val="TableText"/>
              <w:ind w:left="152" w:right="52"/>
              <w:spacing w:before="44" w:line="236" w:lineRule="auto"/>
              <w:rPr/>
            </w:pPr>
            <w:r>
              <w:rPr/>
              <w:t>基础设施设备较好，交通较为便利，近邻连江北路，进出方便。现处于在</w:t>
            </w:r>
            <w:r>
              <w:rPr>
                <w:spacing w:val="10"/>
              </w:rPr>
              <w:t xml:space="preserve"> </w:t>
            </w:r>
            <w:r>
              <w:rPr>
                <w:spacing w:val="3"/>
              </w:rPr>
              <w:t>租状态，租期至2026年8月1日。租赁面积即建筑面积为1380.33m²。</w:t>
            </w:r>
          </w:p>
          <w:p>
            <w:pPr>
              <w:pStyle w:val="TableText"/>
              <w:ind w:left="152" w:right="164"/>
              <w:spacing w:before="47" w:line="232" w:lineRule="auto"/>
              <w:rPr/>
            </w:pPr>
            <w:r>
              <w:rPr/>
              <w:t>2.租赁用途：仓储。(不得用于易燃易爆、危险品、有毒化工、腐蚀性化</w:t>
            </w:r>
            <w:r>
              <w:rPr>
                <w:spacing w:val="8"/>
              </w:rPr>
              <w:t xml:space="preserve"> </w:t>
            </w:r>
            <w:r>
              <w:rPr>
                <w:spacing w:val="2"/>
              </w:rPr>
              <w:t>工、加工工厂类生产经营及法律法规不允许的行业。)</w:t>
            </w:r>
          </w:p>
          <w:p>
            <w:pPr>
              <w:pStyle w:val="TableText"/>
              <w:ind w:left="152"/>
              <w:spacing w:before="37" w:line="236" w:lineRule="auto"/>
              <w:rPr/>
            </w:pPr>
            <w:r>
              <w:rPr>
                <w:spacing w:val="-1"/>
              </w:rPr>
              <w:t>3.履约保证金：承租方须在《房屋租赁合同》</w:t>
            </w:r>
            <w:r>
              <w:rPr>
                <w:spacing w:val="-2"/>
              </w:rPr>
              <w:t>签订当日向出租方支付3个月</w:t>
            </w:r>
            <w:r>
              <w:rPr/>
              <w:t xml:space="preserve"> </w:t>
            </w:r>
            <w:r>
              <w:rPr>
                <w:spacing w:val="-1"/>
              </w:rPr>
              <w:t>首年月租金金额的履约保证金。</w:t>
            </w:r>
          </w:p>
          <w:p>
            <w:pPr>
              <w:pStyle w:val="TableText"/>
              <w:ind w:left="152" w:right="64"/>
              <w:spacing w:before="44" w:line="233" w:lineRule="auto"/>
              <w:rPr/>
            </w:pPr>
            <w:r>
              <w:rPr/>
              <w:t>4.租金支付方式：按月支付租金(先付后用),承租方</w:t>
            </w:r>
            <w:r>
              <w:rPr>
                <w:spacing w:val="-1"/>
              </w:rPr>
              <w:t>在签订《房屋租赁合</w:t>
            </w:r>
            <w:r>
              <w:rPr/>
              <w:t xml:space="preserve">  </w:t>
            </w:r>
            <w:r>
              <w:rPr/>
              <w:t>同》当日即付首期租金，后续每期按合同约定每月10日前支付当月租金。</w:t>
            </w:r>
          </w:p>
          <w:p>
            <w:pPr>
              <w:pStyle w:val="TableText"/>
              <w:ind w:left="152" w:right="21" w:firstLine="10"/>
              <w:spacing w:before="38" w:line="244" w:lineRule="auto"/>
              <w:rPr/>
            </w:pPr>
            <w:r>
              <w:rPr>
                <w:spacing w:val="-2"/>
              </w:rPr>
              <w:t>5.水电保证金：承租方须在签订《房屋租赁合同》</w:t>
            </w:r>
            <w:r>
              <w:rPr>
                <w:spacing w:val="-3"/>
              </w:rPr>
              <w:t>当日缴纳3万元作为水电</w:t>
            </w:r>
            <w:r>
              <w:rPr/>
              <w:t xml:space="preserve"> </w:t>
            </w:r>
            <w:r>
              <w:rPr/>
              <w:t>保证金，水电保证金待租期届满后，出租方验收</w:t>
            </w:r>
            <w:r>
              <w:rPr>
                <w:spacing w:val="-1"/>
              </w:rPr>
              <w:t>房屋及原有固定设施无改</w:t>
            </w:r>
            <w:r>
              <w:rPr/>
              <w:t xml:space="preserve"> </w:t>
            </w:r>
            <w:r>
              <w:rPr/>
              <w:t>变或损坏，并已结清各项费用后，无息退还承租</w:t>
            </w:r>
            <w:r>
              <w:rPr>
                <w:spacing w:val="-1"/>
              </w:rPr>
              <w:t>方。</w:t>
            </w:r>
          </w:p>
          <w:p>
            <w:pPr>
              <w:pStyle w:val="TableText"/>
              <w:ind w:left="152" w:right="53"/>
              <w:spacing w:before="39" w:line="231" w:lineRule="auto"/>
              <w:rPr/>
            </w:pPr>
            <w:r>
              <w:rPr/>
              <w:t>6.装修保证金：承租方须在签订《房屋租赁合同》当日缴纳10万元作为装</w:t>
            </w:r>
            <w:r>
              <w:rPr>
                <w:spacing w:val="9"/>
              </w:rPr>
              <w:t xml:space="preserve"> </w:t>
            </w:r>
            <w:r>
              <w:rPr/>
              <w:t>修保证金(装修保证金质押时间不少于装修免租期</w:t>
            </w:r>
            <w:r>
              <w:rPr>
                <w:spacing w:val="-1"/>
              </w:rPr>
              <w:t>)。装修结束经出租方</w:t>
            </w:r>
          </w:p>
          <w:p>
            <w:pPr>
              <w:pStyle w:val="TableText"/>
              <w:ind w:left="152"/>
              <w:spacing w:before="60" w:line="219" w:lineRule="auto"/>
              <w:rPr/>
            </w:pPr>
            <w:r>
              <w:rPr/>
              <w:t>验收合格后10个工作日内无息退还。</w:t>
            </w:r>
          </w:p>
          <w:p>
            <w:pPr>
              <w:pStyle w:val="TableText"/>
              <w:ind w:left="152" w:right="23"/>
              <w:spacing w:before="29" w:line="241" w:lineRule="auto"/>
              <w:rPr/>
            </w:pPr>
            <w:r>
              <w:rPr>
                <w:spacing w:val="-5"/>
              </w:rPr>
              <w:t>7.标的交付时间：出租方在《房屋租赁合同》签订</w:t>
            </w:r>
            <w:r>
              <w:rPr>
                <w:spacing w:val="-6"/>
              </w:rPr>
              <w:t>当日将租赁标的交付给承</w:t>
            </w:r>
            <w:r>
              <w:rPr/>
              <w:t xml:space="preserve"> </w:t>
            </w:r>
            <w:r>
              <w:rPr/>
              <w:t>租方。</w:t>
            </w:r>
          </w:p>
        </w:tc>
      </w:tr>
      <w:tr>
        <w:trPr>
          <w:trHeight w:val="604" w:hRule="atLeast"/>
        </w:trPr>
        <w:tc>
          <w:tcPr>
            <w:tcW w:w="2402" w:type="dxa"/>
            <w:vAlign w:val="top"/>
          </w:tcPr>
          <w:p>
            <w:pPr>
              <w:pStyle w:val="TableText"/>
              <w:ind w:left="108"/>
              <w:spacing w:before="194" w:line="219" w:lineRule="auto"/>
              <w:rPr/>
            </w:pPr>
            <w:r>
              <w:rPr>
                <w:b/>
                <w:bCs/>
                <w:spacing w:val="-2"/>
              </w:rPr>
              <w:t>资产数量</w:t>
            </w:r>
          </w:p>
        </w:tc>
        <w:tc>
          <w:tcPr>
            <w:tcW w:w="7267" w:type="dxa"/>
            <w:vAlign w:val="top"/>
          </w:tcPr>
          <w:p>
            <w:pPr>
              <w:spacing w:line="250" w:lineRule="auto"/>
              <w:rPr>
                <w:rFonts w:ascii="Arial"/>
                <w:sz w:val="21"/>
              </w:rPr>
            </w:pPr>
            <w:r/>
          </w:p>
          <w:p>
            <w:pPr>
              <w:pStyle w:val="TableText"/>
              <w:ind w:left="152"/>
              <w:spacing w:before="72" w:line="149" w:lineRule="exact"/>
              <w:rPr/>
            </w:pPr>
            <w:r>
              <w:rPr>
                <w:spacing w:val="-6"/>
                <w:w w:val="53"/>
                <w:position w:val="-4"/>
              </w:rPr>
              <w:t>—</w:t>
            </w:r>
            <w:r>
              <w:rPr>
                <w:position w:val="-4"/>
              </w:rPr>
              <w:t>—</w:t>
            </w:r>
          </w:p>
        </w:tc>
      </w:tr>
    </w:tbl>
    <w:p>
      <w:pPr>
        <w:spacing w:before="68"/>
        <w:rPr/>
      </w:pPr>
      <w:r/>
    </w:p>
    <w:tbl>
      <w:tblPr>
        <w:tblStyle w:val="TableNormal"/>
        <w:tblW w:w="9629" w:type="dxa"/>
        <w:tblInd w:w="700" w:type="dxa"/>
        <w:tblLayout w:type="fixed"/>
        <w:tblBorders>
          <w:left w:val="single" w:color="000000" w:sz="4" w:space="0"/>
          <w:bottom w:val="single" w:color="000000" w:sz="4" w:space="0"/>
          <w:right w:val="single" w:color="000000" w:sz="4" w:space="0"/>
          <w:top w:val="single" w:color="000000" w:sz="4" w:space="0"/>
        </w:tblBorders>
      </w:tblPr>
      <w:tblGrid>
        <w:gridCol w:w="9629"/>
      </w:tblGrid>
      <w:tr>
        <w:trPr>
          <w:trHeight w:val="619" w:hRule="atLeast"/>
        </w:trPr>
        <w:tc>
          <w:tcPr>
            <w:tcW w:w="9629" w:type="dxa"/>
            <w:vAlign w:val="top"/>
          </w:tcPr>
          <w:p>
            <w:pPr>
              <w:pStyle w:val="TableText"/>
              <w:ind w:left="118"/>
              <w:spacing w:before="170" w:line="219" w:lineRule="auto"/>
              <w:outlineLvl w:val="2"/>
              <w:rPr>
                <w:sz w:val="28"/>
                <w:szCs w:val="28"/>
              </w:rPr>
            </w:pPr>
            <w:r>
              <w:rPr>
                <w:sz w:val="28"/>
                <w:szCs w:val="28"/>
                <w:b/>
                <w:bCs/>
                <w:spacing w:val="-5"/>
              </w:rPr>
              <w:t>二、出租方简况</w:t>
            </w:r>
          </w:p>
        </w:tc>
      </w:tr>
    </w:tbl>
    <w:p>
      <w:pPr>
        <w:spacing w:line="300" w:lineRule="auto"/>
        <w:rPr>
          <w:rFonts w:ascii="Arial"/>
          <w:sz w:val="21"/>
        </w:rPr>
      </w:pPr>
      <w:r/>
    </w:p>
    <w:p>
      <w:pPr>
        <w:spacing w:line="300" w:lineRule="auto"/>
        <w:rPr>
          <w:rFonts w:ascii="Arial"/>
          <w:sz w:val="21"/>
        </w:rPr>
      </w:pPr>
      <w:r/>
    </w:p>
    <w:p>
      <w:pPr>
        <w:spacing w:before="44" w:line="204" w:lineRule="exact"/>
        <w:jc w:val="right"/>
        <w:rPr>
          <w:rFonts w:ascii="Arial" w:hAnsi="Arial" w:eastAsia="Arial" w:cs="Arial"/>
          <w:sz w:val="14"/>
          <w:szCs w:val="14"/>
        </w:rPr>
      </w:pPr>
      <w:hyperlink w:history="true" r:id="rId1">
        <w:r>
          <w:rPr>
            <w:rFonts w:ascii="Arial" w:hAnsi="Arial" w:eastAsia="Arial" w:cs="Arial"/>
            <w:sz w:val="15"/>
            <w:szCs w:val="15"/>
            <w:position w:val="2"/>
          </w:rPr>
          <w:t>https://biz.fjcqiy.com/#/projectDetail/e2d4d8240d5b4a77b8124a80a2906a92.html                                                                                              </w:t>
        </w:r>
        <w:r>
          <w:rPr>
            <w:rFonts w:ascii="Arial" w:hAnsi="Arial" w:eastAsia="Arial" w:cs="Arial"/>
            <w:sz w:val="15"/>
            <w:szCs w:val="15"/>
            <w:spacing w:val="-1"/>
            <w:position w:val="2"/>
          </w:rPr>
          <w:t xml:space="preserve">                                 </w:t>
        </w:r>
        <w:r>
          <w:rPr>
            <w:rFonts w:ascii="Arial" w:hAnsi="Arial" w:eastAsia="Arial" w:cs="Arial"/>
            <w:sz w:val="14"/>
            <w:szCs w:val="14"/>
            <w:spacing w:val="-1"/>
            <w:position w:val="2"/>
          </w:rPr>
          <w:t>1/12</w:t>
        </w:r>
      </w:hyperlink>
    </w:p>
    <w:p>
      <w:pPr>
        <w:spacing w:line="204" w:lineRule="exact"/>
        <w:sectPr>
          <w:pgSz w:w="11910" w:h="16840"/>
          <w:pgMar w:top="203" w:right="542" w:bottom="0" w:left="449" w:header="0" w:footer="0" w:gutter="0"/>
        </w:sectPr>
        <w:rPr>
          <w:rFonts w:ascii="Arial" w:hAnsi="Arial" w:eastAsia="Arial" w:cs="Arial"/>
          <w:sz w:val="14"/>
          <w:szCs w:val="14"/>
        </w:rPr>
      </w:pPr>
    </w:p>
    <w:p>
      <w:pPr>
        <w:spacing w:before="58"/>
        <w:rPr/>
      </w:pPr>
      <w:r/>
    </w:p>
    <w:p>
      <w:pPr>
        <w:spacing w:before="58"/>
        <w:rPr/>
      </w:pPr>
      <w:r/>
    </w:p>
    <w:tbl>
      <w:tblPr>
        <w:tblStyle w:val="TableNormal"/>
        <w:tblW w:w="9709" w:type="dxa"/>
        <w:tblInd w:w="65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577"/>
        <w:gridCol w:w="2407"/>
        <w:gridCol w:w="4545"/>
        <w:gridCol w:w="180"/>
      </w:tblGrid>
      <w:tr>
        <w:trPr>
          <w:trHeight w:val="749" w:hRule="atLeast"/>
        </w:trPr>
        <w:tc>
          <w:tcPr>
            <w:tcW w:w="2577" w:type="dxa"/>
            <w:vAlign w:val="top"/>
            <w:vMerge w:val="restart"/>
            <w:tcBorders>
              <w:bottom w:val="nil"/>
            </w:tcBorders>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pStyle w:val="TableText"/>
              <w:ind w:left="253"/>
              <w:spacing w:before="81" w:line="219" w:lineRule="auto"/>
              <w:rPr>
                <w:sz w:val="25"/>
                <w:szCs w:val="25"/>
              </w:rPr>
            </w:pPr>
            <w:r>
              <w:rPr>
                <w:sz w:val="25"/>
                <w:szCs w:val="25"/>
                <w:b/>
                <w:bCs/>
                <w:spacing w:val="-3"/>
              </w:rPr>
              <w:t>出租方基本情况</w:t>
            </w:r>
          </w:p>
        </w:tc>
        <w:tc>
          <w:tcPr>
            <w:tcW w:w="2407" w:type="dxa"/>
            <w:vAlign w:val="top"/>
          </w:tcPr>
          <w:p>
            <w:pPr>
              <w:spacing w:line="255" w:lineRule="auto"/>
              <w:rPr>
                <w:rFonts w:ascii="Arial"/>
                <w:sz w:val="21"/>
              </w:rPr>
            </w:pPr>
            <w:r/>
          </w:p>
          <w:p>
            <w:pPr>
              <w:pStyle w:val="TableText"/>
              <w:ind w:left="106"/>
              <w:spacing w:before="81" w:line="221" w:lineRule="auto"/>
              <w:rPr>
                <w:sz w:val="25"/>
                <w:szCs w:val="25"/>
              </w:rPr>
            </w:pPr>
            <w:r>
              <w:rPr>
                <w:sz w:val="25"/>
                <w:szCs w:val="25"/>
                <w:b/>
                <w:bCs/>
                <w:spacing w:val="-2"/>
              </w:rPr>
              <w:t>出租方名称</w:t>
            </w:r>
          </w:p>
        </w:tc>
        <w:tc>
          <w:tcPr>
            <w:tcW w:w="4545" w:type="dxa"/>
            <w:vAlign w:val="top"/>
          </w:tcPr>
          <w:p>
            <w:pPr>
              <w:spacing w:line="258" w:lineRule="auto"/>
              <w:rPr>
                <w:rFonts w:ascii="Arial"/>
                <w:sz w:val="21"/>
              </w:rPr>
            </w:pPr>
            <w:r/>
          </w:p>
          <w:p>
            <w:pPr>
              <w:pStyle w:val="TableText"/>
              <w:ind w:left="105"/>
              <w:spacing w:before="81" w:line="220" w:lineRule="auto"/>
              <w:rPr>
                <w:sz w:val="25"/>
                <w:szCs w:val="25"/>
              </w:rPr>
            </w:pPr>
            <w:r>
              <w:rPr>
                <w:sz w:val="25"/>
                <w:szCs w:val="25"/>
                <w:spacing w:val="3"/>
              </w:rPr>
              <w:t>福建海峡纸业有限公司</w:t>
            </w:r>
          </w:p>
        </w:tc>
        <w:tc>
          <w:tcPr>
            <w:tcW w:w="180" w:type="dxa"/>
            <w:vAlign w:val="top"/>
            <w:tcBorders>
              <w:bottom w:val="nil"/>
              <w:top w:val="nil"/>
            </w:tcBorders>
          </w:tcPr>
          <w:p>
            <w:pPr>
              <w:rPr>
                <w:rFonts w:ascii="Arial"/>
                <w:sz w:val="21"/>
              </w:rPr>
            </w:pPr>
            <w:r/>
          </w:p>
        </w:tc>
      </w:tr>
      <w:tr>
        <w:trPr>
          <w:trHeight w:val="918" w:hRule="atLeast"/>
        </w:trPr>
        <w:tc>
          <w:tcPr>
            <w:tcW w:w="2577" w:type="dxa"/>
            <w:vAlign w:val="top"/>
            <w:vMerge w:val="continue"/>
            <w:tcBorders>
              <w:top w:val="nil"/>
              <w:bottom w:val="nil"/>
            </w:tcBorders>
          </w:tcPr>
          <w:p>
            <w:pPr>
              <w:rPr>
                <w:rFonts w:ascii="Arial"/>
                <w:sz w:val="21"/>
              </w:rPr>
            </w:pPr>
            <w:r/>
          </w:p>
        </w:tc>
        <w:tc>
          <w:tcPr>
            <w:tcW w:w="2407" w:type="dxa"/>
            <w:vAlign w:val="top"/>
          </w:tcPr>
          <w:p>
            <w:pPr>
              <w:pStyle w:val="TableText"/>
              <w:ind w:left="106" w:right="280"/>
              <w:spacing w:before="165" w:line="254" w:lineRule="auto"/>
              <w:rPr>
                <w:sz w:val="25"/>
                <w:szCs w:val="25"/>
              </w:rPr>
            </w:pPr>
            <w:r>
              <w:rPr>
                <w:sz w:val="25"/>
                <w:szCs w:val="25"/>
                <w:b/>
                <w:bCs/>
                <w:spacing w:val="-2"/>
              </w:rPr>
              <w:t>出租方统一社会信</w:t>
            </w:r>
            <w:r>
              <w:rPr>
                <w:sz w:val="25"/>
                <w:szCs w:val="25"/>
                <w:spacing w:val="4"/>
              </w:rPr>
              <w:t xml:space="preserve"> </w:t>
            </w:r>
            <w:r>
              <w:rPr>
                <w:sz w:val="25"/>
                <w:szCs w:val="25"/>
                <w:b/>
                <w:bCs/>
                <w:spacing w:val="-6"/>
              </w:rPr>
              <w:t>用代码</w:t>
            </w:r>
          </w:p>
        </w:tc>
        <w:tc>
          <w:tcPr>
            <w:tcW w:w="4545" w:type="dxa"/>
            <w:vAlign w:val="top"/>
          </w:tcPr>
          <w:p>
            <w:pPr>
              <w:spacing w:line="321" w:lineRule="auto"/>
              <w:rPr>
                <w:rFonts w:ascii="Arial"/>
                <w:sz w:val="21"/>
              </w:rPr>
            </w:pPr>
            <w:r/>
          </w:p>
          <w:p>
            <w:pPr>
              <w:pStyle w:val="TableText"/>
              <w:ind w:left="105"/>
              <w:spacing w:before="81" w:line="184" w:lineRule="auto"/>
              <w:rPr>
                <w:sz w:val="25"/>
                <w:szCs w:val="25"/>
              </w:rPr>
            </w:pPr>
            <w:r>
              <w:rPr>
                <w:sz w:val="25"/>
                <w:szCs w:val="25"/>
                <w:spacing w:val="-1"/>
              </w:rPr>
              <w:t>91350000158145613M</w:t>
            </w:r>
          </w:p>
        </w:tc>
        <w:tc>
          <w:tcPr>
            <w:tcW w:w="180" w:type="dxa"/>
            <w:vAlign w:val="top"/>
            <w:tcBorders>
              <w:bottom w:val="nil"/>
              <w:top w:val="nil"/>
            </w:tcBorders>
          </w:tcPr>
          <w:p>
            <w:pPr>
              <w:rPr>
                <w:rFonts w:ascii="Arial"/>
                <w:sz w:val="21"/>
              </w:rPr>
            </w:pPr>
            <w:r/>
          </w:p>
        </w:tc>
      </w:tr>
      <w:tr>
        <w:trPr>
          <w:trHeight w:val="599" w:hRule="atLeast"/>
        </w:trPr>
        <w:tc>
          <w:tcPr>
            <w:tcW w:w="2577" w:type="dxa"/>
            <w:vAlign w:val="top"/>
            <w:vMerge w:val="continue"/>
            <w:tcBorders>
              <w:top w:val="nil"/>
            </w:tcBorders>
          </w:tcPr>
          <w:p>
            <w:pPr>
              <w:rPr>
                <w:rFonts w:ascii="Arial"/>
                <w:sz w:val="21"/>
              </w:rPr>
            </w:pPr>
            <w:r/>
          </w:p>
        </w:tc>
        <w:tc>
          <w:tcPr>
            <w:tcW w:w="2407" w:type="dxa"/>
            <w:vAlign w:val="top"/>
          </w:tcPr>
          <w:p>
            <w:pPr>
              <w:pStyle w:val="TableText"/>
              <w:ind w:left="106"/>
              <w:spacing w:before="179" w:line="219" w:lineRule="auto"/>
              <w:rPr>
                <w:sz w:val="25"/>
                <w:szCs w:val="25"/>
              </w:rPr>
            </w:pPr>
            <w:r>
              <w:rPr>
                <w:sz w:val="25"/>
                <w:szCs w:val="25"/>
                <w:b/>
                <w:bCs/>
                <w:spacing w:val="-1"/>
              </w:rPr>
              <w:t>经济类型</w:t>
            </w:r>
          </w:p>
        </w:tc>
        <w:tc>
          <w:tcPr>
            <w:tcW w:w="4545" w:type="dxa"/>
            <w:vAlign w:val="top"/>
          </w:tcPr>
          <w:p>
            <w:pPr>
              <w:pStyle w:val="TableText"/>
              <w:ind w:left="105"/>
              <w:spacing w:before="184" w:line="220" w:lineRule="auto"/>
              <w:rPr>
                <w:sz w:val="25"/>
                <w:szCs w:val="25"/>
              </w:rPr>
            </w:pPr>
            <w:r>
              <w:rPr>
                <w:sz w:val="25"/>
                <w:szCs w:val="25"/>
                <w:spacing w:val="1"/>
              </w:rPr>
              <w:t>国有控股企业</w:t>
            </w:r>
          </w:p>
        </w:tc>
        <w:tc>
          <w:tcPr>
            <w:tcW w:w="180" w:type="dxa"/>
            <w:vAlign w:val="top"/>
            <w:tcBorders>
              <w:bottom w:val="nil"/>
              <w:top w:val="nil"/>
            </w:tcBorders>
          </w:tcPr>
          <w:p>
            <w:pPr>
              <w:rPr>
                <w:rFonts w:ascii="Arial"/>
                <w:sz w:val="21"/>
              </w:rPr>
            </w:pPr>
            <w:r/>
          </w:p>
        </w:tc>
      </w:tr>
      <w:tr>
        <w:trPr>
          <w:trHeight w:val="599" w:hRule="atLeast"/>
        </w:trPr>
        <w:tc>
          <w:tcPr>
            <w:tcW w:w="2577" w:type="dxa"/>
            <w:vAlign w:val="top"/>
            <w:vMerge w:val="restart"/>
            <w:tcBorders>
              <w:bottom w:val="nil"/>
            </w:tcBorders>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253" w:right="323"/>
              <w:spacing w:before="81" w:line="247" w:lineRule="auto"/>
              <w:rPr>
                <w:sz w:val="25"/>
                <w:szCs w:val="25"/>
              </w:rPr>
            </w:pPr>
            <w:r>
              <w:rPr>
                <w:sz w:val="25"/>
                <w:szCs w:val="25"/>
                <w:b/>
                <w:bCs/>
                <w:spacing w:val="-4"/>
              </w:rPr>
              <w:t>产权承租行为批准</w:t>
            </w:r>
            <w:r>
              <w:rPr>
                <w:sz w:val="25"/>
                <w:szCs w:val="25"/>
              </w:rPr>
              <w:t xml:space="preserve"> </w:t>
            </w:r>
            <w:r>
              <w:rPr>
                <w:sz w:val="25"/>
                <w:szCs w:val="25"/>
                <w:b/>
                <w:bCs/>
                <w:spacing w:val="-6"/>
              </w:rPr>
              <w:t>情况</w:t>
            </w:r>
          </w:p>
        </w:tc>
        <w:tc>
          <w:tcPr>
            <w:tcW w:w="2407" w:type="dxa"/>
            <w:vAlign w:val="top"/>
          </w:tcPr>
          <w:p>
            <w:pPr>
              <w:pStyle w:val="TableText"/>
              <w:ind w:left="106"/>
              <w:spacing w:before="179" w:line="219" w:lineRule="auto"/>
              <w:rPr>
                <w:sz w:val="25"/>
                <w:szCs w:val="25"/>
              </w:rPr>
            </w:pPr>
            <w:r>
              <w:rPr>
                <w:sz w:val="25"/>
                <w:szCs w:val="25"/>
                <w:b/>
                <w:bCs/>
                <w:spacing w:val="-2"/>
              </w:rPr>
              <w:t>国资监管机构</w:t>
            </w:r>
          </w:p>
        </w:tc>
        <w:tc>
          <w:tcPr>
            <w:tcW w:w="4545" w:type="dxa"/>
            <w:vAlign w:val="top"/>
          </w:tcPr>
          <w:p>
            <w:pPr>
              <w:pStyle w:val="TableText"/>
              <w:ind w:left="105"/>
              <w:spacing w:before="184" w:line="219" w:lineRule="auto"/>
              <w:rPr>
                <w:sz w:val="25"/>
                <w:szCs w:val="25"/>
              </w:rPr>
            </w:pPr>
            <w:r>
              <w:rPr>
                <w:sz w:val="25"/>
                <w:szCs w:val="25"/>
                <w:spacing w:val="1"/>
              </w:rPr>
              <w:t>省级国资委监管</w:t>
            </w:r>
          </w:p>
        </w:tc>
        <w:tc>
          <w:tcPr>
            <w:tcW w:w="180" w:type="dxa"/>
            <w:vAlign w:val="top"/>
            <w:tcBorders>
              <w:bottom w:val="nil"/>
              <w:top w:val="nil"/>
            </w:tcBorders>
          </w:tcPr>
          <w:p>
            <w:pPr>
              <w:rPr>
                <w:rFonts w:ascii="Arial"/>
                <w:sz w:val="21"/>
              </w:rPr>
            </w:pPr>
            <w:r/>
          </w:p>
        </w:tc>
      </w:tr>
      <w:tr>
        <w:trPr>
          <w:trHeight w:val="918" w:hRule="atLeast"/>
        </w:trPr>
        <w:tc>
          <w:tcPr>
            <w:tcW w:w="2577" w:type="dxa"/>
            <w:vAlign w:val="top"/>
            <w:vMerge w:val="continue"/>
            <w:tcBorders>
              <w:top w:val="nil"/>
              <w:bottom w:val="nil"/>
            </w:tcBorders>
          </w:tcPr>
          <w:p>
            <w:pPr>
              <w:rPr>
                <w:rFonts w:ascii="Arial"/>
                <w:sz w:val="21"/>
              </w:rPr>
            </w:pPr>
            <w:r/>
          </w:p>
        </w:tc>
        <w:tc>
          <w:tcPr>
            <w:tcW w:w="2407" w:type="dxa"/>
            <w:vAlign w:val="top"/>
          </w:tcPr>
          <w:p>
            <w:pPr>
              <w:pStyle w:val="TableText"/>
              <w:ind w:left="106" w:right="283"/>
              <w:spacing w:before="182" w:line="245" w:lineRule="auto"/>
              <w:rPr>
                <w:sz w:val="25"/>
                <w:szCs w:val="25"/>
              </w:rPr>
            </w:pPr>
            <w:r>
              <w:rPr>
                <w:sz w:val="25"/>
                <w:szCs w:val="25"/>
                <w:b/>
                <w:bCs/>
                <w:spacing w:val="-2"/>
              </w:rPr>
              <w:t>国家出资企业或主</w:t>
            </w:r>
            <w:r>
              <w:rPr>
                <w:sz w:val="25"/>
                <w:szCs w:val="25"/>
              </w:rPr>
              <w:t xml:space="preserve"> </w:t>
            </w:r>
            <w:r>
              <w:rPr>
                <w:sz w:val="25"/>
                <w:szCs w:val="25"/>
                <w:b/>
                <w:bCs/>
                <w:spacing w:val="-2"/>
              </w:rPr>
              <w:t>管部门名称</w:t>
            </w:r>
          </w:p>
        </w:tc>
        <w:tc>
          <w:tcPr>
            <w:tcW w:w="4545" w:type="dxa"/>
            <w:vAlign w:val="top"/>
          </w:tcPr>
          <w:p>
            <w:pPr>
              <w:spacing w:line="262" w:lineRule="auto"/>
              <w:rPr>
                <w:rFonts w:ascii="Arial"/>
                <w:sz w:val="21"/>
              </w:rPr>
            </w:pPr>
            <w:r/>
          </w:p>
          <w:p>
            <w:pPr>
              <w:pStyle w:val="TableText"/>
              <w:ind w:left="105"/>
              <w:spacing w:before="81" w:line="219" w:lineRule="auto"/>
              <w:rPr>
                <w:sz w:val="25"/>
                <w:szCs w:val="25"/>
              </w:rPr>
            </w:pPr>
            <w:r>
              <w:rPr>
                <w:sz w:val="25"/>
                <w:szCs w:val="25"/>
                <w:spacing w:val="2"/>
              </w:rPr>
              <w:t>福建省工业控股集团有限公司</w:t>
            </w:r>
          </w:p>
        </w:tc>
        <w:tc>
          <w:tcPr>
            <w:tcW w:w="180" w:type="dxa"/>
            <w:vAlign w:val="top"/>
            <w:tcBorders>
              <w:bottom w:val="nil"/>
              <w:top w:val="nil"/>
            </w:tcBorders>
          </w:tcPr>
          <w:p>
            <w:pPr>
              <w:rPr>
                <w:rFonts w:ascii="Arial"/>
                <w:sz w:val="21"/>
              </w:rPr>
            </w:pPr>
            <w:r/>
          </w:p>
        </w:tc>
      </w:tr>
      <w:tr>
        <w:trPr>
          <w:trHeight w:val="918" w:hRule="atLeast"/>
        </w:trPr>
        <w:tc>
          <w:tcPr>
            <w:tcW w:w="2577" w:type="dxa"/>
            <w:vAlign w:val="top"/>
            <w:vMerge w:val="continue"/>
            <w:tcBorders>
              <w:top w:val="nil"/>
              <w:bottom w:val="nil"/>
            </w:tcBorders>
          </w:tcPr>
          <w:p>
            <w:pPr>
              <w:rPr>
                <w:rFonts w:ascii="Arial"/>
                <w:sz w:val="21"/>
              </w:rPr>
            </w:pPr>
            <w:r/>
          </w:p>
        </w:tc>
        <w:tc>
          <w:tcPr>
            <w:tcW w:w="2407" w:type="dxa"/>
            <w:vAlign w:val="top"/>
          </w:tcPr>
          <w:p>
            <w:pPr>
              <w:pStyle w:val="TableText"/>
              <w:ind w:left="106" w:right="283"/>
              <w:spacing w:before="173" w:line="252" w:lineRule="auto"/>
              <w:rPr>
                <w:sz w:val="25"/>
                <w:szCs w:val="25"/>
              </w:rPr>
            </w:pPr>
            <w:r>
              <w:rPr>
                <w:sz w:val="25"/>
                <w:szCs w:val="25"/>
                <w:b/>
                <w:bCs/>
                <w:spacing w:val="-2"/>
              </w:rPr>
              <w:t>国家出资企业统一</w:t>
            </w:r>
            <w:r>
              <w:rPr>
                <w:sz w:val="25"/>
                <w:szCs w:val="25"/>
              </w:rPr>
              <w:t xml:space="preserve"> </w:t>
            </w:r>
            <w:r>
              <w:rPr>
                <w:sz w:val="25"/>
                <w:szCs w:val="25"/>
                <w:b/>
                <w:bCs/>
                <w:spacing w:val="-5"/>
              </w:rPr>
              <w:t>社会信用代码</w:t>
            </w:r>
          </w:p>
        </w:tc>
        <w:tc>
          <w:tcPr>
            <w:tcW w:w="4545" w:type="dxa"/>
            <w:vAlign w:val="top"/>
          </w:tcPr>
          <w:p>
            <w:pPr>
              <w:spacing w:line="299" w:lineRule="auto"/>
              <w:rPr>
                <w:rFonts w:ascii="Arial"/>
                <w:sz w:val="21"/>
              </w:rPr>
            </w:pPr>
            <w:r/>
          </w:p>
          <w:p>
            <w:pPr>
              <w:pStyle w:val="TableText"/>
              <w:ind w:left="105"/>
              <w:spacing w:before="82" w:line="184" w:lineRule="auto"/>
              <w:rPr>
                <w:sz w:val="25"/>
                <w:szCs w:val="25"/>
              </w:rPr>
            </w:pPr>
            <w:r>
              <w:rPr>
                <w:sz w:val="25"/>
                <w:szCs w:val="25"/>
                <w:spacing w:val="-1"/>
              </w:rPr>
              <w:t>91350000MAEM2RU08J</w:t>
            </w:r>
          </w:p>
        </w:tc>
        <w:tc>
          <w:tcPr>
            <w:tcW w:w="180" w:type="dxa"/>
            <w:vAlign w:val="top"/>
            <w:tcBorders>
              <w:bottom w:val="nil"/>
              <w:top w:val="nil"/>
            </w:tcBorders>
          </w:tcPr>
          <w:p>
            <w:pPr>
              <w:rPr>
                <w:rFonts w:ascii="Arial"/>
                <w:sz w:val="21"/>
              </w:rPr>
            </w:pPr>
            <w:r/>
          </w:p>
        </w:tc>
      </w:tr>
      <w:tr>
        <w:trPr>
          <w:trHeight w:val="599" w:hRule="atLeast"/>
        </w:trPr>
        <w:tc>
          <w:tcPr>
            <w:tcW w:w="2577" w:type="dxa"/>
            <w:vAlign w:val="top"/>
            <w:vMerge w:val="continue"/>
            <w:tcBorders>
              <w:top w:val="nil"/>
              <w:bottom w:val="nil"/>
            </w:tcBorders>
          </w:tcPr>
          <w:p>
            <w:pPr>
              <w:rPr>
                <w:rFonts w:ascii="Arial"/>
                <w:sz w:val="21"/>
              </w:rPr>
            </w:pPr>
            <w:r/>
          </w:p>
        </w:tc>
        <w:tc>
          <w:tcPr>
            <w:tcW w:w="2407" w:type="dxa"/>
            <w:vAlign w:val="top"/>
          </w:tcPr>
          <w:p>
            <w:pPr>
              <w:pStyle w:val="TableText"/>
              <w:ind w:left="106"/>
              <w:spacing w:before="186" w:line="220" w:lineRule="auto"/>
              <w:rPr>
                <w:sz w:val="25"/>
                <w:szCs w:val="25"/>
              </w:rPr>
            </w:pPr>
            <w:r>
              <w:rPr>
                <w:sz w:val="25"/>
                <w:szCs w:val="25"/>
                <w:b/>
                <w:bCs/>
                <w:spacing w:val="-4"/>
              </w:rPr>
              <w:t>批准单位名称</w:t>
            </w:r>
          </w:p>
        </w:tc>
        <w:tc>
          <w:tcPr>
            <w:tcW w:w="4545" w:type="dxa"/>
            <w:vAlign w:val="top"/>
          </w:tcPr>
          <w:p>
            <w:pPr>
              <w:pStyle w:val="TableText"/>
              <w:ind w:left="105"/>
              <w:spacing w:before="189" w:line="219" w:lineRule="auto"/>
              <w:rPr>
                <w:sz w:val="25"/>
                <w:szCs w:val="25"/>
              </w:rPr>
            </w:pPr>
            <w:r>
              <w:rPr>
                <w:sz w:val="25"/>
                <w:szCs w:val="25"/>
                <w:spacing w:val="2"/>
              </w:rPr>
              <w:t>福建省金皇贸易有限责任公司</w:t>
            </w:r>
          </w:p>
        </w:tc>
        <w:tc>
          <w:tcPr>
            <w:tcW w:w="180" w:type="dxa"/>
            <w:vAlign w:val="top"/>
            <w:tcBorders>
              <w:bottom w:val="nil"/>
              <w:top w:val="nil"/>
            </w:tcBorders>
          </w:tcPr>
          <w:p>
            <w:pPr>
              <w:rPr>
                <w:rFonts w:ascii="Arial"/>
                <w:sz w:val="21"/>
              </w:rPr>
            </w:pPr>
            <w:r/>
          </w:p>
        </w:tc>
      </w:tr>
      <w:tr>
        <w:trPr>
          <w:trHeight w:val="579" w:hRule="atLeast"/>
        </w:trPr>
        <w:tc>
          <w:tcPr>
            <w:tcW w:w="2577" w:type="dxa"/>
            <w:vAlign w:val="top"/>
            <w:vMerge w:val="continue"/>
            <w:tcBorders>
              <w:top w:val="nil"/>
              <w:bottom w:val="nil"/>
            </w:tcBorders>
          </w:tcPr>
          <w:p>
            <w:pPr>
              <w:rPr>
                <w:rFonts w:ascii="Arial"/>
                <w:sz w:val="21"/>
              </w:rPr>
            </w:pPr>
            <w:r/>
          </w:p>
        </w:tc>
        <w:tc>
          <w:tcPr>
            <w:tcW w:w="2407" w:type="dxa"/>
            <w:vAlign w:val="top"/>
          </w:tcPr>
          <w:p>
            <w:pPr>
              <w:pStyle w:val="TableText"/>
              <w:ind w:left="106"/>
              <w:spacing w:before="176" w:line="219" w:lineRule="auto"/>
              <w:rPr>
                <w:sz w:val="25"/>
                <w:szCs w:val="25"/>
              </w:rPr>
            </w:pPr>
            <w:r>
              <w:rPr>
                <w:sz w:val="25"/>
                <w:szCs w:val="25"/>
                <w:b/>
                <w:bCs/>
                <w:spacing w:val="-4"/>
              </w:rPr>
              <w:t>批准文件类型</w:t>
            </w:r>
          </w:p>
        </w:tc>
        <w:tc>
          <w:tcPr>
            <w:tcW w:w="4545" w:type="dxa"/>
            <w:vAlign w:val="top"/>
          </w:tcPr>
          <w:p>
            <w:pPr>
              <w:pStyle w:val="TableText"/>
              <w:ind w:left="105"/>
              <w:spacing w:before="181" w:line="220" w:lineRule="auto"/>
              <w:rPr>
                <w:sz w:val="25"/>
                <w:szCs w:val="25"/>
              </w:rPr>
            </w:pPr>
            <w:r>
              <w:rPr>
                <w:sz w:val="25"/>
                <w:szCs w:val="25"/>
                <w:spacing w:val="4"/>
              </w:rPr>
              <w:t>其他</w:t>
            </w:r>
          </w:p>
        </w:tc>
        <w:tc>
          <w:tcPr>
            <w:tcW w:w="180" w:type="dxa"/>
            <w:vAlign w:val="top"/>
            <w:tcBorders>
              <w:bottom w:val="nil"/>
              <w:top w:val="nil"/>
            </w:tcBorders>
          </w:tcPr>
          <w:p>
            <w:pPr>
              <w:rPr>
                <w:rFonts w:ascii="Arial"/>
                <w:sz w:val="21"/>
              </w:rPr>
            </w:pPr>
            <w:r/>
          </w:p>
        </w:tc>
      </w:tr>
      <w:tr>
        <w:trPr>
          <w:trHeight w:val="939" w:hRule="atLeast"/>
        </w:trPr>
        <w:tc>
          <w:tcPr>
            <w:tcW w:w="2577" w:type="dxa"/>
            <w:vAlign w:val="top"/>
            <w:vMerge w:val="continue"/>
            <w:tcBorders>
              <w:top w:val="nil"/>
              <w:bottom w:val="nil"/>
            </w:tcBorders>
          </w:tcPr>
          <w:p>
            <w:pPr>
              <w:rPr>
                <w:rFonts w:ascii="Arial"/>
                <w:sz w:val="21"/>
              </w:rPr>
            </w:pPr>
            <w:r/>
          </w:p>
        </w:tc>
        <w:tc>
          <w:tcPr>
            <w:tcW w:w="2407" w:type="dxa"/>
            <w:vAlign w:val="top"/>
          </w:tcPr>
          <w:p>
            <w:pPr>
              <w:pStyle w:val="TableText"/>
              <w:ind w:left="106" w:right="299"/>
              <w:spacing w:before="188" w:line="254" w:lineRule="auto"/>
              <w:rPr>
                <w:sz w:val="25"/>
                <w:szCs w:val="25"/>
              </w:rPr>
            </w:pPr>
            <w:r>
              <w:rPr>
                <w:sz w:val="25"/>
                <w:szCs w:val="25"/>
                <w:b/>
                <w:bCs/>
                <w:spacing w:val="-4"/>
              </w:rPr>
              <w:t>批准文件名称或决</w:t>
            </w:r>
            <w:r>
              <w:rPr>
                <w:sz w:val="25"/>
                <w:szCs w:val="25"/>
                <w:spacing w:val="1"/>
              </w:rPr>
              <w:t xml:space="preserve"> </w:t>
            </w:r>
            <w:r>
              <w:rPr>
                <w:sz w:val="25"/>
                <w:szCs w:val="25"/>
                <w:b/>
                <w:bCs/>
                <w:spacing w:val="-6"/>
              </w:rPr>
              <w:t>策名称</w:t>
            </w:r>
          </w:p>
        </w:tc>
        <w:tc>
          <w:tcPr>
            <w:tcW w:w="4545" w:type="dxa"/>
            <w:vAlign w:val="top"/>
          </w:tcPr>
          <w:p>
            <w:pPr>
              <w:spacing w:line="276" w:lineRule="auto"/>
              <w:rPr>
                <w:rFonts w:ascii="Arial"/>
                <w:sz w:val="21"/>
              </w:rPr>
            </w:pPr>
            <w:r/>
          </w:p>
          <w:p>
            <w:pPr>
              <w:pStyle w:val="TableText"/>
              <w:ind w:left="105"/>
              <w:spacing w:before="81" w:line="219" w:lineRule="auto"/>
              <w:rPr>
                <w:sz w:val="25"/>
                <w:szCs w:val="25"/>
              </w:rPr>
            </w:pPr>
            <w:r>
              <w:rPr>
                <w:sz w:val="25"/>
                <w:szCs w:val="25"/>
              </w:rPr>
              <w:t>2026年第十二次总经理办公会议纪要</w:t>
            </w:r>
          </w:p>
        </w:tc>
        <w:tc>
          <w:tcPr>
            <w:tcW w:w="180" w:type="dxa"/>
            <w:vAlign w:val="top"/>
            <w:tcBorders>
              <w:bottom w:val="nil"/>
              <w:top w:val="nil"/>
            </w:tcBorders>
          </w:tcPr>
          <w:p>
            <w:pPr>
              <w:rPr>
                <w:rFonts w:ascii="Arial"/>
                <w:sz w:val="21"/>
              </w:rPr>
            </w:pPr>
            <w:r/>
          </w:p>
        </w:tc>
      </w:tr>
      <w:tr>
        <w:trPr>
          <w:trHeight w:val="579" w:hRule="atLeast"/>
        </w:trPr>
        <w:tc>
          <w:tcPr>
            <w:tcW w:w="2577" w:type="dxa"/>
            <w:vAlign w:val="top"/>
            <w:vMerge w:val="continue"/>
            <w:tcBorders>
              <w:top w:val="nil"/>
              <w:bottom w:val="nil"/>
            </w:tcBorders>
          </w:tcPr>
          <w:p>
            <w:pPr>
              <w:rPr>
                <w:rFonts w:ascii="Arial"/>
                <w:sz w:val="21"/>
              </w:rPr>
            </w:pPr>
            <w:r/>
          </w:p>
        </w:tc>
        <w:tc>
          <w:tcPr>
            <w:tcW w:w="2407" w:type="dxa"/>
            <w:vAlign w:val="top"/>
          </w:tcPr>
          <w:p>
            <w:pPr>
              <w:pStyle w:val="TableText"/>
              <w:ind w:left="106"/>
              <w:spacing w:before="179" w:line="220" w:lineRule="auto"/>
              <w:rPr>
                <w:sz w:val="25"/>
                <w:szCs w:val="25"/>
              </w:rPr>
            </w:pPr>
            <w:r>
              <w:rPr>
                <w:sz w:val="25"/>
                <w:szCs w:val="25"/>
                <w:b/>
                <w:bCs/>
                <w:spacing w:val="-5"/>
              </w:rPr>
              <w:t>批准日期</w:t>
            </w:r>
          </w:p>
        </w:tc>
        <w:tc>
          <w:tcPr>
            <w:tcW w:w="4545" w:type="dxa"/>
            <w:vAlign w:val="top"/>
          </w:tcPr>
          <w:p>
            <w:pPr>
              <w:pStyle w:val="TableText"/>
              <w:ind w:left="105"/>
              <w:spacing w:before="206"/>
              <w:rPr>
                <w:sz w:val="25"/>
                <w:szCs w:val="25"/>
              </w:rPr>
            </w:pPr>
            <w:r>
              <w:rPr>
                <w:sz w:val="25"/>
                <w:szCs w:val="25"/>
                <w:spacing w:val="-2"/>
              </w:rPr>
              <w:t>2026-07-07</w:t>
            </w:r>
          </w:p>
        </w:tc>
        <w:tc>
          <w:tcPr>
            <w:tcW w:w="180" w:type="dxa"/>
            <w:vAlign w:val="top"/>
            <w:tcBorders>
              <w:bottom w:val="nil"/>
              <w:top w:val="nil"/>
            </w:tcBorders>
          </w:tcPr>
          <w:p>
            <w:pPr>
              <w:rPr>
                <w:rFonts w:ascii="Arial"/>
                <w:sz w:val="21"/>
              </w:rPr>
            </w:pPr>
            <w:r/>
          </w:p>
        </w:tc>
      </w:tr>
      <w:tr>
        <w:trPr>
          <w:trHeight w:val="599" w:hRule="atLeast"/>
        </w:trPr>
        <w:tc>
          <w:tcPr>
            <w:tcW w:w="2577" w:type="dxa"/>
            <w:vAlign w:val="top"/>
            <w:vMerge w:val="continue"/>
            <w:tcBorders>
              <w:top w:val="nil"/>
            </w:tcBorders>
          </w:tcPr>
          <w:p>
            <w:pPr>
              <w:rPr>
                <w:rFonts w:ascii="Arial"/>
                <w:sz w:val="21"/>
              </w:rPr>
            </w:pPr>
            <w:r/>
          </w:p>
        </w:tc>
        <w:tc>
          <w:tcPr>
            <w:tcW w:w="2407" w:type="dxa"/>
            <w:vAlign w:val="top"/>
          </w:tcPr>
          <w:p>
            <w:pPr>
              <w:pStyle w:val="TableText"/>
              <w:ind w:left="106"/>
              <w:spacing w:before="191" w:line="221" w:lineRule="auto"/>
              <w:rPr>
                <w:sz w:val="25"/>
                <w:szCs w:val="25"/>
              </w:rPr>
            </w:pPr>
            <w:r>
              <w:rPr>
                <w:sz w:val="25"/>
                <w:szCs w:val="25"/>
                <w:b/>
                <w:bCs/>
                <w:spacing w:val="-5"/>
              </w:rPr>
              <w:t>批准文号</w:t>
            </w:r>
          </w:p>
        </w:tc>
        <w:tc>
          <w:tcPr>
            <w:tcW w:w="4545" w:type="dxa"/>
            <w:vAlign w:val="top"/>
          </w:tcPr>
          <w:p>
            <w:pPr>
              <w:pStyle w:val="TableText"/>
              <w:ind w:left="105"/>
              <w:spacing w:before="194" w:line="221" w:lineRule="auto"/>
              <w:rPr>
                <w:sz w:val="25"/>
                <w:szCs w:val="25"/>
              </w:rPr>
            </w:pPr>
            <w:r>
              <w:rPr>
                <w:sz w:val="25"/>
                <w:szCs w:val="25"/>
                <w:spacing w:val="1"/>
              </w:rPr>
              <w:t>[2026]12号</w:t>
            </w:r>
          </w:p>
        </w:tc>
        <w:tc>
          <w:tcPr>
            <w:tcW w:w="180" w:type="dxa"/>
            <w:vAlign w:val="top"/>
            <w:tcBorders>
              <w:bottom w:val="nil"/>
              <w:top w:val="nil"/>
            </w:tcBorders>
          </w:tcPr>
          <w:p>
            <w:pPr>
              <w:rPr>
                <w:rFonts w:ascii="Arial"/>
                <w:sz w:val="21"/>
              </w:rPr>
            </w:pPr>
            <w:r/>
          </w:p>
        </w:tc>
      </w:tr>
      <w:tr>
        <w:trPr>
          <w:trHeight w:val="459" w:hRule="atLeast"/>
        </w:trPr>
        <w:tc>
          <w:tcPr>
            <w:tcW w:w="9709" w:type="dxa"/>
            <w:vAlign w:val="top"/>
            <w:gridSpan w:val="4"/>
            <w:tcBorders>
              <w:left w:val="nil"/>
              <w:bottom w:val="single" w:color="000000" w:sz="6" w:space="0"/>
            </w:tcBorders>
          </w:tcPr>
          <w:p>
            <w:pPr>
              <w:rPr>
                <w:rFonts w:ascii="Arial"/>
                <w:sz w:val="21"/>
              </w:rPr>
            </w:pPr>
            <w:r/>
          </w:p>
        </w:tc>
      </w:tr>
    </w:tbl>
    <w:p>
      <w:pPr>
        <w:spacing w:before="43"/>
        <w:rPr/>
      </w:pPr>
      <w:r/>
    </w:p>
    <w:tbl>
      <w:tblPr>
        <w:tblStyle w:val="TableNormal"/>
        <w:tblW w:w="9629" w:type="dxa"/>
        <w:tblInd w:w="69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402"/>
        <w:gridCol w:w="2397"/>
        <w:gridCol w:w="4830"/>
      </w:tblGrid>
      <w:tr>
        <w:trPr>
          <w:trHeight w:val="613" w:hRule="atLeast"/>
        </w:trPr>
        <w:tc>
          <w:tcPr>
            <w:tcW w:w="9629" w:type="dxa"/>
            <w:vAlign w:val="top"/>
            <w:gridSpan w:val="3"/>
          </w:tcPr>
          <w:p>
            <w:pPr>
              <w:pStyle w:val="TableText"/>
              <w:ind w:left="118"/>
              <w:spacing w:before="181" w:line="219" w:lineRule="auto"/>
              <w:rPr>
                <w:sz w:val="25"/>
                <w:szCs w:val="25"/>
              </w:rPr>
            </w:pPr>
            <w:r>
              <w:rPr>
                <w:sz w:val="25"/>
                <w:szCs w:val="25"/>
                <w:b/>
                <w:bCs/>
                <w:spacing w:val="-4"/>
              </w:rPr>
              <w:t>三、交易条件与承租方资格条件</w:t>
            </w:r>
          </w:p>
        </w:tc>
      </w:tr>
      <w:tr>
        <w:trPr>
          <w:trHeight w:val="589" w:hRule="atLeast"/>
        </w:trPr>
        <w:tc>
          <w:tcPr>
            <w:tcW w:w="2402" w:type="dxa"/>
            <w:vAlign w:val="top"/>
            <w:vMerge w:val="restart"/>
            <w:tcBorders>
              <w:bottom w:val="nil"/>
            </w:tcBorders>
          </w:tcPr>
          <w:p>
            <w:pPr>
              <w:pStyle w:val="TableText"/>
              <w:ind w:left="118"/>
              <w:spacing w:before="188" w:line="219" w:lineRule="auto"/>
              <w:rPr>
                <w:sz w:val="25"/>
                <w:szCs w:val="25"/>
              </w:rPr>
            </w:pPr>
            <w:r>
              <w:rPr>
                <w:sz w:val="25"/>
                <w:szCs w:val="25"/>
                <w:b/>
                <w:bCs/>
                <w:spacing w:val="-6"/>
              </w:rPr>
              <w:t>交易条件</w:t>
            </w:r>
          </w:p>
        </w:tc>
        <w:tc>
          <w:tcPr>
            <w:tcW w:w="2397" w:type="dxa"/>
            <w:vAlign w:val="top"/>
          </w:tcPr>
          <w:p>
            <w:pPr>
              <w:pStyle w:val="TableText"/>
              <w:ind w:left="106"/>
              <w:spacing w:before="166" w:line="218" w:lineRule="auto"/>
              <w:rPr>
                <w:sz w:val="25"/>
                <w:szCs w:val="25"/>
              </w:rPr>
            </w:pPr>
            <w:r>
              <w:rPr>
                <w:sz w:val="25"/>
                <w:szCs w:val="25"/>
                <w:b/>
                <w:bCs/>
                <w:spacing w:val="-5"/>
              </w:rPr>
              <w:t>挂牌价格</w:t>
            </w:r>
          </w:p>
        </w:tc>
        <w:tc>
          <w:tcPr>
            <w:tcW w:w="4830" w:type="dxa"/>
            <w:vAlign w:val="top"/>
          </w:tcPr>
          <w:p>
            <w:pPr>
              <w:pStyle w:val="TableText"/>
              <w:ind w:left="116"/>
              <w:spacing w:before="168" w:line="216" w:lineRule="auto"/>
              <w:rPr>
                <w:sz w:val="25"/>
                <w:szCs w:val="25"/>
              </w:rPr>
            </w:pPr>
            <w:r>
              <w:rPr>
                <w:sz w:val="25"/>
                <w:szCs w:val="25"/>
                <w:spacing w:val="4"/>
              </w:rPr>
              <w:t>52,452.54元/月</w:t>
            </w:r>
          </w:p>
        </w:tc>
      </w:tr>
      <w:tr>
        <w:trPr>
          <w:trHeight w:val="609" w:hRule="atLeast"/>
        </w:trPr>
        <w:tc>
          <w:tcPr>
            <w:tcW w:w="2402" w:type="dxa"/>
            <w:vAlign w:val="top"/>
            <w:vMerge w:val="continue"/>
            <w:tcBorders>
              <w:top w:val="nil"/>
              <w:bottom w:val="nil"/>
            </w:tcBorders>
          </w:tcPr>
          <w:p>
            <w:pPr>
              <w:rPr>
                <w:rFonts w:ascii="Arial"/>
                <w:sz w:val="21"/>
              </w:rPr>
            </w:pPr>
            <w:r/>
          </w:p>
        </w:tc>
        <w:tc>
          <w:tcPr>
            <w:tcW w:w="2397" w:type="dxa"/>
            <w:vAlign w:val="top"/>
          </w:tcPr>
          <w:p>
            <w:pPr>
              <w:pStyle w:val="TableText"/>
              <w:ind w:left="106"/>
              <w:spacing w:before="177" w:line="218" w:lineRule="auto"/>
              <w:rPr>
                <w:sz w:val="25"/>
                <w:szCs w:val="25"/>
              </w:rPr>
            </w:pPr>
            <w:r>
              <w:rPr>
                <w:sz w:val="25"/>
                <w:szCs w:val="25"/>
                <w:b/>
                <w:bCs/>
                <w:spacing w:val="2"/>
              </w:rPr>
              <w:t>价格说明</w:t>
            </w:r>
          </w:p>
        </w:tc>
        <w:tc>
          <w:tcPr>
            <w:tcW w:w="4830" w:type="dxa"/>
            <w:vAlign w:val="top"/>
          </w:tcPr>
          <w:p>
            <w:pPr>
              <w:pStyle w:val="TableText"/>
              <w:ind w:left="116"/>
              <w:spacing w:before="181" w:line="218" w:lineRule="auto"/>
              <w:rPr>
                <w:sz w:val="25"/>
                <w:szCs w:val="25"/>
              </w:rPr>
            </w:pPr>
            <w:r>
              <w:rPr>
                <w:sz w:val="25"/>
                <w:szCs w:val="25"/>
              </w:rPr>
              <w:t>挂牌价格为租赁标的第一年月租金底价</w:t>
            </w:r>
          </w:p>
        </w:tc>
      </w:tr>
      <w:tr>
        <w:trPr>
          <w:trHeight w:val="1277" w:hRule="atLeast"/>
        </w:trPr>
        <w:tc>
          <w:tcPr>
            <w:tcW w:w="2402" w:type="dxa"/>
            <w:vAlign w:val="top"/>
            <w:vMerge w:val="continue"/>
            <w:tcBorders>
              <w:top w:val="nil"/>
              <w:bottom w:val="nil"/>
            </w:tcBorders>
          </w:tcPr>
          <w:p>
            <w:pPr>
              <w:rPr>
                <w:rFonts w:ascii="Arial"/>
                <w:sz w:val="21"/>
              </w:rPr>
            </w:pPr>
            <w:r/>
          </w:p>
        </w:tc>
        <w:tc>
          <w:tcPr>
            <w:tcW w:w="2397" w:type="dxa"/>
            <w:vAlign w:val="top"/>
          </w:tcPr>
          <w:p>
            <w:pPr>
              <w:spacing w:line="436" w:lineRule="auto"/>
              <w:rPr>
                <w:rFonts w:ascii="Arial"/>
                <w:sz w:val="21"/>
              </w:rPr>
            </w:pPr>
            <w:r/>
          </w:p>
          <w:p>
            <w:pPr>
              <w:pStyle w:val="TableText"/>
              <w:ind w:left="106"/>
              <w:spacing w:before="82" w:line="219" w:lineRule="auto"/>
              <w:rPr>
                <w:sz w:val="25"/>
                <w:szCs w:val="25"/>
              </w:rPr>
            </w:pPr>
            <w:r>
              <w:rPr>
                <w:sz w:val="25"/>
                <w:szCs w:val="25"/>
                <w:b/>
                <w:bCs/>
                <w:spacing w:val="-5"/>
              </w:rPr>
              <w:t>租金计算方式</w:t>
            </w:r>
          </w:p>
        </w:tc>
        <w:tc>
          <w:tcPr>
            <w:tcW w:w="4830" w:type="dxa"/>
            <w:vAlign w:val="top"/>
          </w:tcPr>
          <w:p>
            <w:pPr>
              <w:pStyle w:val="TableText"/>
              <w:ind w:left="116" w:right="190"/>
              <w:spacing w:before="174" w:line="261" w:lineRule="auto"/>
              <w:jc w:val="both"/>
              <w:rPr>
                <w:sz w:val="25"/>
                <w:szCs w:val="25"/>
              </w:rPr>
            </w:pPr>
            <w:r>
              <w:rPr>
                <w:sz w:val="25"/>
                <w:szCs w:val="25"/>
              </w:rPr>
              <w:t>租金递增 第1年至第3年每月租金为成交</w:t>
            </w:r>
            <w:r>
              <w:rPr>
                <w:sz w:val="25"/>
                <w:szCs w:val="25"/>
                <w:spacing w:val="7"/>
              </w:rPr>
              <w:t xml:space="preserve">  </w:t>
            </w:r>
            <w:r>
              <w:rPr>
                <w:sz w:val="25"/>
                <w:szCs w:val="25"/>
              </w:rPr>
              <w:t>价，从第4年起至第4年租金在上一年基础</w:t>
            </w:r>
            <w:r>
              <w:rPr>
                <w:sz w:val="25"/>
                <w:szCs w:val="25"/>
                <w:spacing w:val="12"/>
              </w:rPr>
              <w:t xml:space="preserve"> </w:t>
            </w:r>
            <w:r>
              <w:rPr>
                <w:sz w:val="25"/>
                <w:szCs w:val="25"/>
              </w:rPr>
              <w:t>上递增3%,后续不再递增。</w:t>
            </w:r>
          </w:p>
        </w:tc>
      </w:tr>
      <w:tr>
        <w:trPr>
          <w:trHeight w:val="589" w:hRule="atLeast"/>
        </w:trPr>
        <w:tc>
          <w:tcPr>
            <w:tcW w:w="2402" w:type="dxa"/>
            <w:vAlign w:val="top"/>
            <w:vMerge w:val="continue"/>
            <w:tcBorders>
              <w:top w:val="nil"/>
              <w:bottom w:val="nil"/>
            </w:tcBorders>
          </w:tcPr>
          <w:p>
            <w:pPr>
              <w:rPr>
                <w:rFonts w:ascii="Arial"/>
                <w:sz w:val="21"/>
              </w:rPr>
            </w:pPr>
            <w:r/>
          </w:p>
        </w:tc>
        <w:tc>
          <w:tcPr>
            <w:tcW w:w="2397" w:type="dxa"/>
            <w:vAlign w:val="top"/>
          </w:tcPr>
          <w:p>
            <w:pPr>
              <w:pStyle w:val="TableText"/>
              <w:ind w:left="106"/>
              <w:spacing w:before="174" w:line="220" w:lineRule="auto"/>
              <w:rPr>
                <w:sz w:val="25"/>
                <w:szCs w:val="25"/>
              </w:rPr>
            </w:pPr>
            <w:r>
              <w:rPr>
                <w:sz w:val="25"/>
                <w:szCs w:val="25"/>
                <w:b/>
                <w:bCs/>
                <w:spacing w:val="-1"/>
              </w:rPr>
              <w:t>免租期限</w:t>
            </w:r>
          </w:p>
        </w:tc>
        <w:tc>
          <w:tcPr>
            <w:tcW w:w="4830" w:type="dxa"/>
            <w:vAlign w:val="top"/>
          </w:tcPr>
          <w:p>
            <w:pPr>
              <w:pStyle w:val="TableText"/>
              <w:ind w:left="116"/>
              <w:spacing w:before="177" w:line="219" w:lineRule="auto"/>
              <w:rPr>
                <w:sz w:val="25"/>
                <w:szCs w:val="25"/>
              </w:rPr>
            </w:pPr>
            <w:r>
              <w:rPr>
                <w:sz w:val="25"/>
                <w:szCs w:val="25"/>
                <w:spacing w:val="7"/>
              </w:rPr>
              <w:t>第1年前1个月</w:t>
            </w:r>
          </w:p>
        </w:tc>
      </w:tr>
      <w:tr>
        <w:trPr>
          <w:trHeight w:val="928" w:hRule="atLeast"/>
        </w:trPr>
        <w:tc>
          <w:tcPr>
            <w:tcW w:w="2402" w:type="dxa"/>
            <w:vAlign w:val="top"/>
            <w:vMerge w:val="continue"/>
            <w:tcBorders>
              <w:top w:val="nil"/>
              <w:bottom w:val="nil"/>
            </w:tcBorders>
          </w:tcPr>
          <w:p>
            <w:pPr>
              <w:rPr>
                <w:rFonts w:ascii="Arial"/>
                <w:sz w:val="21"/>
              </w:rPr>
            </w:pPr>
            <w:r/>
          </w:p>
        </w:tc>
        <w:tc>
          <w:tcPr>
            <w:tcW w:w="2397" w:type="dxa"/>
            <w:vAlign w:val="top"/>
          </w:tcPr>
          <w:p>
            <w:pPr>
              <w:pStyle w:val="TableText"/>
              <w:ind w:left="106" w:right="294"/>
              <w:spacing w:before="154" w:line="277" w:lineRule="auto"/>
              <w:rPr>
                <w:sz w:val="25"/>
                <w:szCs w:val="25"/>
              </w:rPr>
            </w:pPr>
            <w:r>
              <w:rPr>
                <w:sz w:val="25"/>
                <w:szCs w:val="25"/>
                <w:b/>
                <w:bCs/>
                <w:spacing w:val="-5"/>
              </w:rPr>
              <w:t>履约保证金处置方</w:t>
            </w:r>
            <w:r>
              <w:rPr>
                <w:sz w:val="25"/>
                <w:szCs w:val="25"/>
                <w:spacing w:val="4"/>
              </w:rPr>
              <w:t xml:space="preserve"> </w:t>
            </w:r>
            <w:r>
              <w:rPr>
                <w:sz w:val="25"/>
                <w:szCs w:val="25"/>
                <w:b/>
                <w:bCs/>
                <w:spacing w:val="-3"/>
              </w:rPr>
              <w:t>式</w:t>
            </w:r>
          </w:p>
        </w:tc>
        <w:tc>
          <w:tcPr>
            <w:tcW w:w="4830" w:type="dxa"/>
            <w:vAlign w:val="top"/>
          </w:tcPr>
          <w:p>
            <w:pPr>
              <w:spacing w:line="407" w:lineRule="auto"/>
              <w:rPr>
                <w:rFonts w:ascii="Arial"/>
                <w:sz w:val="21"/>
              </w:rPr>
            </w:pPr>
            <w:r/>
          </w:p>
          <w:p>
            <w:pPr>
              <w:pStyle w:val="TableText"/>
              <w:ind w:left="116"/>
              <w:spacing w:before="81" w:line="170" w:lineRule="exact"/>
              <w:rPr>
                <w:sz w:val="25"/>
                <w:szCs w:val="25"/>
              </w:rPr>
            </w:pPr>
            <w:r>
              <w:rPr>
                <w:sz w:val="25"/>
                <w:szCs w:val="25"/>
                <w:spacing w:val="-6"/>
                <w:w w:val="53"/>
                <w:position w:val="-4"/>
              </w:rPr>
              <w:t>—</w:t>
            </w:r>
            <w:r>
              <w:rPr>
                <w:sz w:val="25"/>
                <w:szCs w:val="25"/>
                <w:position w:val="-4"/>
              </w:rPr>
              <w:t>—</w:t>
            </w:r>
          </w:p>
        </w:tc>
      </w:tr>
      <w:tr>
        <w:trPr>
          <w:trHeight w:val="594" w:hRule="atLeast"/>
        </w:trPr>
        <w:tc>
          <w:tcPr>
            <w:tcW w:w="2402" w:type="dxa"/>
            <w:vAlign w:val="top"/>
            <w:vMerge w:val="continue"/>
            <w:tcBorders>
              <w:top w:val="nil"/>
            </w:tcBorders>
          </w:tcPr>
          <w:p>
            <w:pPr>
              <w:rPr>
                <w:rFonts w:ascii="Arial"/>
                <w:sz w:val="21"/>
              </w:rPr>
            </w:pPr>
            <w:r/>
          </w:p>
        </w:tc>
        <w:tc>
          <w:tcPr>
            <w:tcW w:w="2397" w:type="dxa"/>
            <w:vAlign w:val="top"/>
          </w:tcPr>
          <w:p>
            <w:pPr>
              <w:pStyle w:val="TableText"/>
              <w:ind w:left="106"/>
              <w:spacing w:before="174" w:line="218" w:lineRule="auto"/>
              <w:rPr>
                <w:sz w:val="25"/>
                <w:szCs w:val="25"/>
              </w:rPr>
            </w:pPr>
            <w:r>
              <w:rPr>
                <w:sz w:val="25"/>
                <w:szCs w:val="25"/>
                <w:b/>
                <w:bCs/>
                <w:spacing w:val="-5"/>
              </w:rPr>
              <w:t>价款支付方式</w:t>
            </w:r>
          </w:p>
        </w:tc>
        <w:tc>
          <w:tcPr>
            <w:tcW w:w="4830" w:type="dxa"/>
            <w:vAlign w:val="top"/>
          </w:tcPr>
          <w:p>
            <w:pPr>
              <w:rPr>
                <w:rFonts w:ascii="Arial"/>
                <w:sz w:val="21"/>
              </w:rPr>
            </w:pPr>
            <w:r/>
          </w:p>
        </w:tc>
      </w:tr>
    </w:tbl>
    <w:p>
      <w:pPr>
        <w:pStyle w:val="BodyText"/>
        <w:rPr/>
      </w:pPr>
      <w:r/>
    </w:p>
    <w:p>
      <w:pPr>
        <w:sectPr>
          <w:headerReference w:type="default" r:id="rId2"/>
          <w:footerReference w:type="default" r:id="rId3"/>
          <w:pgSz w:w="11910" w:h="16840"/>
          <w:pgMar w:top="500" w:right="512" w:bottom="467" w:left="449" w:header="238" w:footer="262" w:gutter="0"/>
        </w:sectPr>
        <w:rPr/>
      </w:pPr>
    </w:p>
    <w:p>
      <w:pPr>
        <w:spacing w:before="53"/>
        <w:rPr/>
      </w:pPr>
      <w:r/>
    </w:p>
    <w:p>
      <w:pPr>
        <w:spacing w:before="53"/>
        <w:rPr/>
      </w:pPr>
      <w:r/>
    </w:p>
    <w:tbl>
      <w:tblPr>
        <w:tblStyle w:val="TableNormal"/>
        <w:tblW w:w="9659" w:type="dxa"/>
        <w:tblInd w:w="69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416"/>
        <w:gridCol w:w="2386"/>
        <w:gridCol w:w="4857"/>
      </w:tblGrid>
      <w:tr>
        <w:trPr>
          <w:trHeight w:val="659" w:hRule="atLeast"/>
        </w:trPr>
        <w:tc>
          <w:tcPr>
            <w:tcW w:w="2416" w:type="dxa"/>
            <w:vAlign w:val="top"/>
            <w:vMerge w:val="restart"/>
            <w:tcBorders>
              <w:bottom w:val="nil"/>
              <w:top w:val="nil"/>
              <w:left w:val="single" w:color="000000" w:sz="8" w:space="0"/>
            </w:tcBorders>
          </w:tcPr>
          <w:p>
            <w:pPr>
              <w:rPr>
                <w:rFonts w:ascii="Arial"/>
                <w:sz w:val="21"/>
              </w:rPr>
            </w:pPr>
            <w:r/>
          </w:p>
        </w:tc>
        <w:tc>
          <w:tcPr>
            <w:tcW w:w="2386" w:type="dxa"/>
            <w:vAlign w:val="top"/>
            <w:tcBorders>
              <w:top w:val="nil"/>
            </w:tcBorders>
          </w:tcPr>
          <w:p>
            <w:pPr>
              <w:pStyle w:val="TableText"/>
              <w:ind w:left="92"/>
              <w:spacing w:before="246" w:line="220" w:lineRule="auto"/>
              <w:rPr/>
            </w:pPr>
            <w:r>
              <w:rPr>
                <w:b/>
                <w:bCs/>
                <w:spacing w:val="-5"/>
              </w:rPr>
              <w:t>租赁期限</w:t>
            </w:r>
          </w:p>
        </w:tc>
        <w:tc>
          <w:tcPr>
            <w:tcW w:w="4857" w:type="dxa"/>
            <w:vAlign w:val="top"/>
            <w:tcBorders>
              <w:top w:val="nil"/>
            </w:tcBorders>
          </w:tcPr>
          <w:p>
            <w:pPr>
              <w:pStyle w:val="TableText"/>
              <w:ind w:left="152"/>
              <w:spacing w:before="249" w:line="219" w:lineRule="auto"/>
              <w:rPr/>
            </w:pPr>
            <w:r>
              <w:rPr>
                <w:spacing w:val="4"/>
              </w:rPr>
              <w:t>5年</w:t>
            </w:r>
          </w:p>
        </w:tc>
      </w:tr>
      <w:tr>
        <w:trPr>
          <w:trHeight w:val="13980" w:hRule="atLeast"/>
        </w:trPr>
        <w:tc>
          <w:tcPr>
            <w:tcW w:w="2416" w:type="dxa"/>
            <w:vAlign w:val="top"/>
            <w:vMerge w:val="continue"/>
            <w:tcBorders>
              <w:bottom w:val="nil"/>
              <w:top w:val="nil"/>
              <w:left w:val="single" w:color="000000" w:sz="8" w:space="0"/>
            </w:tcBorders>
          </w:tcPr>
          <w:p>
            <w:pPr>
              <w:rPr>
                <w:rFonts w:ascii="Arial"/>
                <w:sz w:val="21"/>
              </w:rPr>
            </w:pPr>
            <w:r/>
          </w:p>
        </w:tc>
        <w:tc>
          <w:tcPr>
            <w:tcW w:w="2386" w:type="dxa"/>
            <w:vAlign w:val="top"/>
            <w:tcBorders>
              <w:bottom w:val="nil"/>
            </w:tcBorders>
          </w:tcPr>
          <w:p>
            <w:pPr>
              <w:pStyle w:val="TableText"/>
              <w:ind w:left="92" w:right="536"/>
              <w:spacing w:before="177" w:line="270" w:lineRule="auto"/>
              <w:rPr/>
            </w:pPr>
            <w:r>
              <w:rPr>
                <w:b/>
                <w:bCs/>
                <w:spacing w:val="-4"/>
              </w:rPr>
              <w:t>与出租相关的其他</w:t>
            </w:r>
            <w:r>
              <w:rPr/>
              <w:t xml:space="preserve"> </w:t>
            </w:r>
            <w:r>
              <w:rPr>
                <w:b/>
                <w:bCs/>
                <w:spacing w:val="-5"/>
              </w:rPr>
              <w:t>条件</w:t>
            </w:r>
          </w:p>
        </w:tc>
        <w:tc>
          <w:tcPr>
            <w:tcW w:w="4857" w:type="dxa"/>
            <w:vAlign w:val="top"/>
            <w:tcBorders>
              <w:bottom w:val="nil"/>
            </w:tcBorders>
          </w:tcPr>
          <w:p>
            <w:pPr>
              <w:pStyle w:val="TableText"/>
              <w:ind w:left="156" w:right="51"/>
              <w:spacing w:before="193" w:line="248" w:lineRule="auto"/>
              <w:rPr/>
            </w:pPr>
            <w:r>
              <w:rPr>
                <w:b/>
                <w:bCs/>
                <w:spacing w:val="-3"/>
              </w:rPr>
              <w:t>1、交易保证金。意向承租方在充分了解租赁标</w:t>
            </w:r>
            <w:r>
              <w:rPr>
                <w:spacing w:val="7"/>
              </w:rPr>
              <w:t xml:space="preserve">  </w:t>
            </w:r>
            <w:r>
              <w:rPr>
                <w:b/>
                <w:bCs/>
                <w:spacing w:val="-2"/>
              </w:rPr>
              <w:t>的的情况下，应在报名截止时间前将交易保证金</w:t>
            </w:r>
            <w:r>
              <w:rPr>
                <w:spacing w:val="5"/>
              </w:rPr>
              <w:t xml:space="preserve"> </w:t>
            </w:r>
            <w:r>
              <w:rPr>
                <w:b/>
                <w:bCs/>
                <w:spacing w:val="-2"/>
              </w:rPr>
              <w:t>交纳至交易中心钱包账户且将钱包账户中的交易</w:t>
            </w:r>
            <w:r>
              <w:rPr>
                <w:spacing w:val="9"/>
              </w:rPr>
              <w:t xml:space="preserve"> </w:t>
            </w:r>
            <w:r>
              <w:rPr>
                <w:b/>
                <w:bCs/>
                <w:spacing w:val="-3"/>
              </w:rPr>
              <w:t>保证金相应金额交纳至相应项目，即表明意向承</w:t>
            </w:r>
            <w:r>
              <w:rPr>
                <w:spacing w:val="14"/>
              </w:rPr>
              <w:t xml:space="preserve"> </w:t>
            </w:r>
            <w:r>
              <w:rPr>
                <w:b/>
                <w:bCs/>
                <w:spacing w:val="-3"/>
              </w:rPr>
              <w:t>租方对出租方做出接受交易条件并以不低于挂牌</w:t>
            </w:r>
            <w:r>
              <w:rPr>
                <w:spacing w:val="13"/>
              </w:rPr>
              <w:t xml:space="preserve"> </w:t>
            </w:r>
            <w:r>
              <w:rPr>
                <w:b/>
                <w:bCs/>
                <w:spacing w:val="-3"/>
              </w:rPr>
              <w:t>价格承租租赁标的承诺的确认。意向承租方逾期</w:t>
            </w:r>
            <w:r>
              <w:rPr>
                <w:spacing w:val="4"/>
              </w:rPr>
              <w:t xml:space="preserve"> </w:t>
            </w:r>
            <w:r>
              <w:rPr>
                <w:b/>
                <w:bCs/>
                <w:spacing w:val="-2"/>
              </w:rPr>
              <w:t>未交纳交易保证金的，不具备合格意向承租方资</w:t>
            </w:r>
            <w:r>
              <w:rPr>
                <w:spacing w:val="12"/>
              </w:rPr>
              <w:t xml:space="preserve"> </w:t>
            </w:r>
            <w:r>
              <w:rPr>
                <w:b/>
                <w:bCs/>
                <w:spacing w:val="-4"/>
              </w:rPr>
              <w:t>格。</w:t>
            </w:r>
          </w:p>
          <w:p>
            <w:pPr>
              <w:pStyle w:val="TableText"/>
              <w:ind w:left="156"/>
              <w:spacing w:before="42" w:line="248" w:lineRule="auto"/>
              <w:rPr/>
            </w:pPr>
            <w:r>
              <w:rPr>
                <w:b/>
                <w:bCs/>
                <w:spacing w:val="-4"/>
              </w:rPr>
              <w:t>2、成交结果公示：成交结果公示日期以交</w:t>
            </w:r>
            <w:r>
              <w:rPr>
                <w:b/>
                <w:bCs/>
                <w:spacing w:val="-5"/>
              </w:rPr>
              <w:t>易中心</w:t>
            </w:r>
            <w:r>
              <w:rPr/>
              <w:t xml:space="preserve"> </w:t>
            </w:r>
            <w:r>
              <w:rPr>
                <w:b/>
                <w:bCs/>
                <w:spacing w:val="-2"/>
              </w:rPr>
              <w:t>官网</w:t>
            </w:r>
            <w:hyperlink w:history="true" r:id="rId6">
              <w:r>
                <w:rPr>
                  <w:b/>
                  <w:bCs/>
                  <w:spacing w:val="-2"/>
                </w:rPr>
                <w:t>http://www.fjcqjy.</w:t>
              </w:r>
              <w:r>
                <w:rPr>
                  <w:b/>
                  <w:bCs/>
                  <w:spacing w:val="-3"/>
                </w:rPr>
                <w:t>com</w:t>
              </w:r>
            </w:hyperlink>
            <w:r>
              <w:rPr>
                <w:b/>
                <w:bCs/>
                <w:spacing w:val="-3"/>
              </w:rPr>
              <w:t>“成交公告”栏公</w:t>
            </w:r>
            <w:r>
              <w:rPr/>
              <w:t xml:space="preserve">   </w:t>
            </w:r>
            <w:r>
              <w:rPr>
                <w:b/>
                <w:bCs/>
                <w:spacing w:val="-2"/>
              </w:rPr>
              <w:t>示时间为准。承租方应适时关注交易中心官网的</w:t>
            </w:r>
            <w:r>
              <w:rPr>
                <w:spacing w:val="6"/>
              </w:rPr>
              <w:t xml:space="preserve"> </w:t>
            </w:r>
            <w:r>
              <w:rPr>
                <w:b/>
                <w:bCs/>
                <w:spacing w:val="-3"/>
              </w:rPr>
              <w:t>关于本项目的成交结果公示信息，否则由此产生</w:t>
            </w:r>
            <w:r>
              <w:rPr>
                <w:spacing w:val="2"/>
              </w:rPr>
              <w:t xml:space="preserve">  </w:t>
            </w:r>
            <w:r>
              <w:rPr>
                <w:b/>
                <w:bCs/>
                <w:spacing w:val="-4"/>
              </w:rPr>
              <w:t>的所有责任均由承租方承担。</w:t>
            </w:r>
          </w:p>
          <w:p>
            <w:pPr>
              <w:pStyle w:val="TableText"/>
              <w:ind w:left="156" w:right="193"/>
              <w:spacing w:before="39" w:line="231" w:lineRule="auto"/>
              <w:rPr/>
            </w:pPr>
            <w:r>
              <w:rPr>
                <w:b/>
                <w:bCs/>
                <w:spacing w:val="-3"/>
              </w:rPr>
              <w:t>3、合同签订：出租方与承租方应在成交结果公</w:t>
            </w:r>
            <w:r>
              <w:rPr/>
              <w:t xml:space="preserve"> </w:t>
            </w:r>
            <w:r>
              <w:rPr>
                <w:b/>
                <w:bCs/>
                <w:spacing w:val="-3"/>
              </w:rPr>
              <w:t>示结束次日起5个工作日内签订租赁合同。</w:t>
            </w:r>
          </w:p>
          <w:p>
            <w:pPr>
              <w:pStyle w:val="TableText"/>
              <w:ind w:left="156"/>
              <w:spacing w:before="46" w:line="247" w:lineRule="auto"/>
              <w:rPr/>
            </w:pPr>
            <w:r>
              <w:rPr>
                <w:b/>
                <w:bCs/>
                <w:spacing w:val="-6"/>
              </w:rPr>
              <w:t>4、租赁房屋外部广告位归出租方所有，承租方如</w:t>
            </w:r>
            <w:r>
              <w:rPr>
                <w:spacing w:val="17"/>
              </w:rPr>
              <w:t xml:space="preserve"> </w:t>
            </w:r>
            <w:r>
              <w:rPr>
                <w:b/>
                <w:bCs/>
                <w:spacing w:val="1"/>
              </w:rPr>
              <w:t>果需要在租赁房屋外立面悬挂空调外机、广告、</w:t>
            </w:r>
            <w:r>
              <w:rPr/>
              <w:t xml:space="preserve"> </w:t>
            </w:r>
            <w:r>
              <w:rPr>
                <w:b/>
                <w:bCs/>
                <w:spacing w:val="1"/>
              </w:rPr>
              <w:t>夜景照明等设备，整体方案必须符合消防要求、</w:t>
            </w:r>
            <w:r>
              <w:rPr/>
              <w:t xml:space="preserve"> </w:t>
            </w:r>
            <w:r>
              <w:rPr>
                <w:b/>
                <w:bCs/>
                <w:spacing w:val="-5"/>
              </w:rPr>
              <w:t>广告设置要求，并经过出租方审核同意后，方可</w:t>
            </w:r>
            <w:r>
              <w:rPr>
                <w:spacing w:val="7"/>
              </w:rPr>
              <w:t xml:space="preserve">  </w:t>
            </w:r>
            <w:r>
              <w:rPr>
                <w:b/>
                <w:bCs/>
                <w:spacing w:val="-3"/>
              </w:rPr>
              <w:t>向相关部门办理审批手续。若悬挂与承租方经营</w:t>
            </w:r>
            <w:r>
              <w:rPr/>
              <w:t xml:space="preserve">  </w:t>
            </w:r>
            <w:r>
              <w:rPr>
                <w:b/>
                <w:bCs/>
                <w:spacing w:val="-3"/>
              </w:rPr>
              <w:t>无关的广告，承租方有偿使用，收益归出租方。</w:t>
            </w:r>
            <w:r>
              <w:rPr>
                <w:spacing w:val="6"/>
              </w:rPr>
              <w:t xml:space="preserve">  </w:t>
            </w:r>
            <w:r>
              <w:rPr>
                <w:b/>
                <w:bCs/>
                <w:spacing w:val="-3"/>
              </w:rPr>
              <w:t>租赁期间承租方的广告牌安全责任由承租方负</w:t>
            </w:r>
          </w:p>
          <w:p>
            <w:pPr>
              <w:pStyle w:val="TableText"/>
              <w:ind w:left="156" w:right="72"/>
              <w:spacing w:before="30" w:line="246" w:lineRule="auto"/>
              <w:rPr/>
            </w:pPr>
            <w:r>
              <w:rPr>
                <w:b/>
                <w:bCs/>
                <w:spacing w:val="-3"/>
              </w:rPr>
              <w:t>责；因广告设置引起的纠纷由承租方负责解决，</w:t>
            </w:r>
            <w:r>
              <w:rPr>
                <w:spacing w:val="7"/>
              </w:rPr>
              <w:t xml:space="preserve"> </w:t>
            </w:r>
            <w:r>
              <w:rPr>
                <w:b/>
                <w:bCs/>
                <w:spacing w:val="-3"/>
              </w:rPr>
              <w:t>与出租方无关，如因承租方设置广告造成出租方</w:t>
            </w:r>
            <w:r>
              <w:rPr>
                <w:spacing w:val="10"/>
              </w:rPr>
              <w:t xml:space="preserve"> </w:t>
            </w:r>
            <w:r>
              <w:rPr>
                <w:b/>
                <w:bCs/>
                <w:spacing w:val="-3"/>
              </w:rPr>
              <w:t>或其他第三人的损害，承租方必须负责赔偿出租</w:t>
            </w:r>
            <w:r>
              <w:rPr>
                <w:spacing w:val="12"/>
              </w:rPr>
              <w:t xml:space="preserve"> </w:t>
            </w:r>
            <w:r>
              <w:rPr>
                <w:b/>
                <w:bCs/>
                <w:spacing w:val="-3"/>
              </w:rPr>
              <w:t>方与其他第三人的经济损失及承担法律责任。</w:t>
            </w:r>
          </w:p>
          <w:p>
            <w:pPr>
              <w:pStyle w:val="TableText"/>
              <w:ind w:left="156" w:right="57"/>
              <w:spacing w:before="30" w:line="248" w:lineRule="auto"/>
              <w:rPr/>
            </w:pPr>
            <w:r>
              <w:rPr>
                <w:b/>
                <w:bCs/>
                <w:spacing w:val="2"/>
              </w:rPr>
              <w:t>5、承租方不得将房屋转租、出借他人、抵押、</w:t>
            </w:r>
            <w:r>
              <w:rPr>
                <w:spacing w:val="12"/>
              </w:rPr>
              <w:t xml:space="preserve"> </w:t>
            </w:r>
            <w:r>
              <w:rPr>
                <w:b/>
                <w:bCs/>
                <w:spacing w:val="-3"/>
              </w:rPr>
              <w:t>留置或与第三人调换使用、共同使用，否则视为</w:t>
            </w:r>
            <w:r>
              <w:rPr>
                <w:spacing w:val="18"/>
              </w:rPr>
              <w:t xml:space="preserve"> </w:t>
            </w:r>
            <w:r>
              <w:rPr>
                <w:b/>
                <w:bCs/>
                <w:spacing w:val="-3"/>
              </w:rPr>
              <w:t>违约，出租方有权提前终止合同，承租方已缴纳</w:t>
            </w:r>
            <w:r>
              <w:rPr>
                <w:spacing w:val="14"/>
              </w:rPr>
              <w:t xml:space="preserve"> </w:t>
            </w:r>
            <w:r>
              <w:rPr>
                <w:b/>
                <w:bCs/>
                <w:spacing w:val="-2"/>
              </w:rPr>
              <w:t>的租金和履约保证金不予退还，出租方有权无条</w:t>
            </w:r>
            <w:r>
              <w:rPr>
                <w:spacing w:val="5"/>
              </w:rPr>
              <w:t xml:space="preserve"> </w:t>
            </w:r>
            <w:r>
              <w:rPr>
                <w:b/>
                <w:bCs/>
                <w:spacing w:val="-3"/>
              </w:rPr>
              <w:t>件收回租赁房屋并要求承租方赔偿因此造成出租</w:t>
            </w:r>
            <w:r>
              <w:rPr>
                <w:spacing w:val="15"/>
              </w:rPr>
              <w:t xml:space="preserve"> </w:t>
            </w:r>
            <w:r>
              <w:rPr>
                <w:b/>
                <w:bCs/>
                <w:spacing w:val="-3"/>
              </w:rPr>
              <w:t>方的直接及间接损失。</w:t>
            </w:r>
          </w:p>
          <w:p>
            <w:pPr>
              <w:pStyle w:val="TableText"/>
              <w:ind w:left="156" w:right="56"/>
              <w:spacing w:before="38" w:line="246" w:lineRule="auto"/>
              <w:rPr/>
            </w:pPr>
            <w:r>
              <w:rPr>
                <w:b/>
                <w:bCs/>
                <w:spacing w:val="-3"/>
              </w:rPr>
              <w:t>6、租赁期内，承租方对租赁标的及其所有构筑</w:t>
            </w:r>
            <w:r>
              <w:rPr>
                <w:spacing w:val="1"/>
              </w:rPr>
              <w:t xml:space="preserve">  </w:t>
            </w:r>
            <w:r>
              <w:rPr>
                <w:b/>
                <w:bCs/>
                <w:spacing w:val="-3"/>
              </w:rPr>
              <w:t>物负有发现、排查和排除隐患的义务，负责对租</w:t>
            </w:r>
            <w:r>
              <w:rPr>
                <w:spacing w:val="14"/>
              </w:rPr>
              <w:t xml:space="preserve"> </w:t>
            </w:r>
            <w:r>
              <w:rPr>
                <w:b/>
                <w:bCs/>
                <w:spacing w:val="-3"/>
              </w:rPr>
              <w:t>赁标的和配套设施的维修、维护、日常管理等，</w:t>
            </w:r>
            <w:r>
              <w:rPr>
                <w:spacing w:val="7"/>
              </w:rPr>
              <w:t xml:space="preserve"> </w:t>
            </w:r>
            <w:r>
              <w:rPr>
                <w:b/>
                <w:bCs/>
                <w:spacing w:val="-3"/>
              </w:rPr>
              <w:t>对失修、损坏部分及时修复，并承担所发生各项</w:t>
            </w:r>
            <w:r>
              <w:rPr>
                <w:spacing w:val="15"/>
              </w:rPr>
              <w:t xml:space="preserve"> </w:t>
            </w:r>
            <w:r>
              <w:rPr>
                <w:b/>
                <w:bCs/>
                <w:spacing w:val="-2"/>
              </w:rPr>
              <w:t>费用。承租方需维护好房屋，不得擅自改变房屋</w:t>
            </w:r>
            <w:r>
              <w:rPr>
                <w:spacing w:val="7"/>
              </w:rPr>
              <w:t xml:space="preserve"> </w:t>
            </w:r>
            <w:r>
              <w:rPr>
                <w:b/>
                <w:bCs/>
                <w:spacing w:val="-3"/>
              </w:rPr>
              <w:t>建筑结构(尤其承重结构和消防设施)。</w:t>
            </w:r>
          </w:p>
          <w:p>
            <w:pPr>
              <w:pStyle w:val="TableText"/>
              <w:ind w:left="156" w:right="70"/>
              <w:spacing w:before="49" w:line="238" w:lineRule="auto"/>
              <w:rPr/>
            </w:pPr>
            <w:r>
              <w:rPr>
                <w:b/>
                <w:bCs/>
                <w:spacing w:val="-2"/>
              </w:rPr>
              <w:t>7、承租方应严格遵守《房屋租赁合同》的各项</w:t>
            </w:r>
            <w:r>
              <w:rPr/>
              <w:t xml:space="preserve">  </w:t>
            </w:r>
            <w:r>
              <w:rPr>
                <w:b/>
                <w:bCs/>
                <w:spacing w:val="-3"/>
              </w:rPr>
              <w:t>规定，按时足额缴纳租金；并自行缴纳水、电等</w:t>
            </w:r>
            <w:r>
              <w:rPr>
                <w:spacing w:val="14"/>
              </w:rPr>
              <w:t xml:space="preserve"> </w:t>
            </w:r>
            <w:r>
              <w:rPr>
                <w:b/>
                <w:bCs/>
                <w:spacing w:val="-3"/>
              </w:rPr>
              <w:t>各项费用，自行承担拖欠费用造成的一切后果。</w:t>
            </w:r>
          </w:p>
          <w:p>
            <w:pPr>
              <w:pStyle w:val="TableText"/>
              <w:ind w:left="156"/>
              <w:spacing w:before="39" w:line="219" w:lineRule="auto"/>
              <w:rPr/>
            </w:pPr>
            <w:r>
              <w:rPr>
                <w:b/>
                <w:bCs/>
                <w:spacing w:val="-3"/>
              </w:rPr>
              <w:t>8、承租方为企业法人单位(国有控股企业除</w:t>
            </w:r>
          </w:p>
          <w:p>
            <w:pPr>
              <w:pStyle w:val="TableText"/>
              <w:ind w:left="166"/>
              <w:spacing w:before="46" w:line="216" w:lineRule="auto"/>
              <w:rPr/>
            </w:pPr>
            <w:r>
              <w:rPr>
                <w:b/>
                <w:bCs/>
                <w:spacing w:val="-2"/>
              </w:rPr>
              <w:t>外),必须由企业及企业法定代表人个人共同作</w:t>
            </w:r>
          </w:p>
          <w:p>
            <w:pPr>
              <w:pStyle w:val="TableText"/>
              <w:ind w:left="156" w:right="72" w:firstLine="10"/>
              <w:spacing w:before="46" w:line="231" w:lineRule="auto"/>
              <w:rPr/>
            </w:pPr>
            <w:r>
              <w:rPr>
                <w:b/>
                <w:bCs/>
                <w:spacing w:val="-3"/>
              </w:rPr>
              <w:t>为租赁合同的承租方，签订租赁合同，共同承担</w:t>
            </w:r>
            <w:r>
              <w:rPr>
                <w:spacing w:val="2"/>
              </w:rPr>
              <w:t xml:space="preserve"> </w:t>
            </w:r>
            <w:r>
              <w:rPr>
                <w:b/>
                <w:bCs/>
                <w:spacing w:val="-3"/>
              </w:rPr>
              <w:t>并履行合同全部义务。</w:t>
            </w:r>
          </w:p>
        </w:tc>
      </w:tr>
    </w:tbl>
    <w:p>
      <w:pPr>
        <w:pStyle w:val="BodyText"/>
        <w:rPr/>
      </w:pPr>
      <w:r/>
    </w:p>
    <w:p>
      <w:pPr>
        <w:sectPr>
          <w:headerReference w:type="default" r:id="rId4"/>
          <w:footerReference w:type="default" r:id="rId5"/>
          <w:pgSz w:w="11910" w:h="16840"/>
          <w:pgMar w:top="500" w:right="514" w:bottom="467" w:left="449" w:header="238" w:footer="262" w:gutter="0"/>
        </w:sectPr>
        <w:rPr/>
      </w:pPr>
    </w:p>
    <w:p>
      <w:pPr>
        <w:spacing w:before="73"/>
        <w:rPr/>
      </w:pPr>
      <w:r/>
    </w:p>
    <w:p>
      <w:pPr>
        <w:spacing w:before="73"/>
        <w:rPr/>
      </w:pPr>
      <w:r/>
    </w:p>
    <w:tbl>
      <w:tblPr>
        <w:tblStyle w:val="TableNormal"/>
        <w:tblW w:w="9629" w:type="dxa"/>
        <w:tblInd w:w="69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392"/>
        <w:gridCol w:w="2387"/>
        <w:gridCol w:w="4850"/>
      </w:tblGrid>
      <w:tr>
        <w:trPr>
          <w:trHeight w:val="760" w:hRule="atLeast"/>
        </w:trPr>
        <w:tc>
          <w:tcPr>
            <w:tcW w:w="2392" w:type="dxa"/>
            <w:vAlign w:val="top"/>
            <w:vMerge w:val="restart"/>
            <w:tcBorders>
              <w:top w:val="nil"/>
              <w:bottom w:val="nil"/>
            </w:tcBorders>
          </w:tcPr>
          <w:p>
            <w:pPr>
              <w:rPr>
                <w:rFonts w:ascii="Arial"/>
                <w:sz w:val="21"/>
              </w:rPr>
            </w:pPr>
            <w:r/>
          </w:p>
        </w:tc>
        <w:tc>
          <w:tcPr>
            <w:tcW w:w="2387" w:type="dxa"/>
            <w:vAlign w:val="top"/>
            <w:tcBorders>
              <w:top w:val="nil"/>
            </w:tcBorders>
          </w:tcPr>
          <w:p>
            <w:pPr>
              <w:rPr>
                <w:rFonts w:ascii="Arial"/>
                <w:sz w:val="21"/>
              </w:rPr>
            </w:pPr>
            <w:r/>
          </w:p>
        </w:tc>
        <w:tc>
          <w:tcPr>
            <w:tcW w:w="4850" w:type="dxa"/>
            <w:vAlign w:val="top"/>
            <w:tcBorders>
              <w:top w:val="nil"/>
            </w:tcBorders>
          </w:tcPr>
          <w:p>
            <w:pPr>
              <w:pStyle w:val="TableText"/>
              <w:ind w:left="185" w:right="133" w:firstLine="20"/>
              <w:spacing w:before="58" w:line="245" w:lineRule="auto"/>
              <w:rPr/>
            </w:pPr>
            <w:r>
              <w:rPr>
                <w:spacing w:val="-1"/>
              </w:rPr>
              <w:t>9、本项目交易条件以本项目“交易系统”披露</w:t>
            </w:r>
            <w:r>
              <w:rPr>
                <w:spacing w:val="10"/>
              </w:rPr>
              <w:t xml:space="preserve"> </w:t>
            </w:r>
            <w:r>
              <w:rPr/>
              <w:t>信息及附件租赁合同约定为准。</w:t>
            </w:r>
          </w:p>
        </w:tc>
      </w:tr>
      <w:tr>
        <w:trPr>
          <w:trHeight w:val="1190" w:hRule="atLeast"/>
        </w:trPr>
        <w:tc>
          <w:tcPr>
            <w:tcW w:w="2392" w:type="dxa"/>
            <w:vAlign w:val="top"/>
            <w:vMerge w:val="continue"/>
            <w:tcBorders>
              <w:top w:val="nil"/>
            </w:tcBorders>
          </w:tcPr>
          <w:p>
            <w:pPr>
              <w:rPr>
                <w:rFonts w:ascii="Arial"/>
                <w:sz w:val="21"/>
              </w:rPr>
            </w:pPr>
            <w:r/>
          </w:p>
        </w:tc>
        <w:tc>
          <w:tcPr>
            <w:tcW w:w="2387" w:type="dxa"/>
            <w:vAlign w:val="top"/>
          </w:tcPr>
          <w:p>
            <w:pPr>
              <w:spacing w:line="411" w:lineRule="auto"/>
              <w:rPr>
                <w:rFonts w:ascii="Arial"/>
                <w:sz w:val="21"/>
              </w:rPr>
            </w:pPr>
            <w:r/>
          </w:p>
          <w:p>
            <w:pPr>
              <w:pStyle w:val="TableText"/>
              <w:ind w:left="116"/>
              <w:spacing w:before="72" w:line="219" w:lineRule="auto"/>
              <w:rPr/>
            </w:pPr>
            <w:r>
              <w:rPr>
                <w:b/>
                <w:bCs/>
                <w:spacing w:val="-4"/>
              </w:rPr>
              <w:t>承租方须承诺事项</w:t>
            </w:r>
          </w:p>
        </w:tc>
        <w:tc>
          <w:tcPr>
            <w:tcW w:w="4850" w:type="dxa"/>
            <w:vAlign w:val="top"/>
          </w:tcPr>
          <w:p>
            <w:pPr>
              <w:pStyle w:val="TableText"/>
              <w:ind w:left="185" w:right="239"/>
              <w:spacing w:before="207" w:line="254" w:lineRule="auto"/>
              <w:jc w:val="both"/>
              <w:rPr/>
            </w:pPr>
            <w:r>
              <w:rPr>
                <w:spacing w:val="-1"/>
              </w:rPr>
              <w:t>所有(或仅有一名)资格审核合格的意向承租方</w:t>
            </w:r>
            <w:r>
              <w:rPr>
                <w:spacing w:val="11"/>
              </w:rPr>
              <w:t xml:space="preserve"> </w:t>
            </w:r>
            <w:r>
              <w:rPr/>
              <w:t>参加网络竞价，但全程均不报(应)价，其交纳</w:t>
            </w:r>
            <w:r>
              <w:rPr>
                <w:spacing w:val="13"/>
              </w:rPr>
              <w:t xml:space="preserve"> </w:t>
            </w:r>
            <w:r>
              <w:rPr/>
              <w:t>的交易保证金不予返还。</w:t>
            </w:r>
          </w:p>
        </w:tc>
      </w:tr>
      <w:tr>
        <w:trPr>
          <w:trHeight w:val="3610" w:hRule="atLeast"/>
        </w:trPr>
        <w:tc>
          <w:tcPr>
            <w:tcW w:w="2392" w:type="dxa"/>
            <w:vAlign w:val="top"/>
            <w:vMerge w:val="restart"/>
            <w:tcBorders>
              <w:bottom w:val="nil"/>
            </w:tcBorders>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108"/>
              <w:spacing w:before="72" w:line="219" w:lineRule="auto"/>
              <w:rPr/>
            </w:pPr>
            <w:r>
              <w:rPr>
                <w:b/>
                <w:bCs/>
                <w:spacing w:val="-4"/>
              </w:rPr>
              <w:t>承租方资格条件</w:t>
            </w:r>
          </w:p>
        </w:tc>
        <w:tc>
          <w:tcPr>
            <w:tcW w:w="2387" w:type="dxa"/>
            <w:vAlign w:val="top"/>
          </w:tcPr>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spacing w:line="269" w:lineRule="auto"/>
              <w:rPr>
                <w:rFonts w:ascii="Arial"/>
                <w:sz w:val="21"/>
              </w:rPr>
            </w:pPr>
            <w:r/>
          </w:p>
          <w:p>
            <w:pPr>
              <w:pStyle w:val="TableText"/>
              <w:ind w:left="116"/>
              <w:spacing w:before="72" w:line="219" w:lineRule="auto"/>
              <w:rPr/>
            </w:pPr>
            <w:r>
              <w:rPr>
                <w:b/>
                <w:bCs/>
                <w:spacing w:val="-4"/>
              </w:rPr>
              <w:t>承租方资格条件</w:t>
            </w:r>
          </w:p>
        </w:tc>
        <w:tc>
          <w:tcPr>
            <w:tcW w:w="4850" w:type="dxa"/>
            <w:vAlign w:val="top"/>
          </w:tcPr>
          <w:p>
            <w:pPr>
              <w:pStyle w:val="TableText"/>
              <w:ind w:left="185" w:right="132"/>
              <w:spacing w:before="217" w:line="236" w:lineRule="auto"/>
              <w:rPr/>
            </w:pPr>
            <w:r>
              <w:rPr/>
              <w:t>1、合法有效存续的法人、非法人组织或具有完</w:t>
            </w:r>
            <w:r>
              <w:rPr>
                <w:spacing w:val="10"/>
              </w:rPr>
              <w:t xml:space="preserve"> </w:t>
            </w:r>
            <w:r>
              <w:rPr/>
              <w:t>全民事行为能力的自然人。</w:t>
            </w:r>
          </w:p>
          <w:p>
            <w:pPr>
              <w:pStyle w:val="TableText"/>
              <w:ind w:left="185" w:right="15"/>
              <w:spacing w:before="46" w:line="242" w:lineRule="auto"/>
              <w:rPr/>
            </w:pPr>
            <w:r>
              <w:rPr>
                <w:spacing w:val="1"/>
              </w:rPr>
              <w:t>2、未被列入人民法院失信被执行人名单【意向</w:t>
            </w:r>
            <w:r>
              <w:rPr/>
              <w:t xml:space="preserve">  </w:t>
            </w:r>
            <w:r>
              <w:rPr/>
              <w:t>承租方在福建省失信被执行人联合惩戒平台查询</w:t>
            </w:r>
            <w:r>
              <w:rPr>
                <w:spacing w:val="17"/>
              </w:rPr>
              <w:t xml:space="preserve"> </w:t>
            </w:r>
            <w:r>
              <w:rPr/>
              <w:t>情况意向承租方不存在失信记录；意向承租方在</w:t>
            </w:r>
            <w:r>
              <w:rPr>
                <w:spacing w:val="11"/>
              </w:rPr>
              <w:t xml:space="preserve"> </w:t>
            </w:r>
            <w:r>
              <w:rPr>
                <w:spacing w:val="2"/>
              </w:rPr>
              <w:t>中国执行信息公开网</w:t>
            </w:r>
          </w:p>
          <w:p>
            <w:pPr>
              <w:pStyle w:val="TableText"/>
              <w:ind w:left="185" w:right="22" w:firstLine="110"/>
              <w:spacing w:before="42" w:line="250" w:lineRule="auto"/>
              <w:rPr/>
            </w:pPr>
            <w:r>
              <w:rPr/>
              <w:t>(</w:t>
            </w:r>
            <w:hyperlink w:history="true" r:id="rId9">
              <w:r>
                <w:rPr/>
                <w:t>http://zxgk.court.gov.cn/</w:t>
              </w:r>
            </w:hyperlink>
            <w:r>
              <w:rPr/>
              <w:t>)失信被执行人查</w:t>
            </w:r>
            <w:r>
              <w:rPr>
                <w:spacing w:val="10"/>
              </w:rPr>
              <w:t xml:space="preserve"> </w:t>
            </w:r>
            <w:r>
              <w:rPr/>
              <w:t>询没有找到意向承租方相关的结果】。</w:t>
            </w:r>
          </w:p>
          <w:p>
            <w:pPr>
              <w:pStyle w:val="TableText"/>
              <w:ind w:left="185"/>
              <w:spacing w:line="219" w:lineRule="auto"/>
              <w:rPr/>
            </w:pPr>
            <w:r>
              <w:rPr/>
              <w:t>3、符合国家法律、行政法规规定的其他条</w:t>
            </w:r>
            <w:r>
              <w:rPr>
                <w:spacing w:val="-1"/>
              </w:rPr>
              <w:t>件。</w:t>
            </w:r>
          </w:p>
          <w:p>
            <w:pPr>
              <w:pStyle w:val="TableText"/>
              <w:ind w:left="185"/>
              <w:spacing w:before="49" w:line="219" w:lineRule="auto"/>
              <w:rPr/>
            </w:pPr>
            <w:r>
              <w:rPr/>
              <w:t>4、不接受联合体报名。</w:t>
            </w:r>
          </w:p>
        </w:tc>
      </w:tr>
      <w:tr>
        <w:trPr>
          <w:trHeight w:val="950" w:hRule="atLeast"/>
        </w:trPr>
        <w:tc>
          <w:tcPr>
            <w:tcW w:w="2392" w:type="dxa"/>
            <w:vAlign w:val="top"/>
            <w:vMerge w:val="continue"/>
            <w:tcBorders>
              <w:top w:val="nil"/>
              <w:bottom w:val="nil"/>
            </w:tcBorders>
          </w:tcPr>
          <w:p>
            <w:pPr>
              <w:rPr>
                <w:rFonts w:ascii="Arial"/>
                <w:sz w:val="21"/>
              </w:rPr>
            </w:pPr>
            <w:r/>
          </w:p>
        </w:tc>
        <w:tc>
          <w:tcPr>
            <w:tcW w:w="2387" w:type="dxa"/>
            <w:vAlign w:val="top"/>
          </w:tcPr>
          <w:p>
            <w:pPr>
              <w:spacing w:line="291" w:lineRule="auto"/>
              <w:rPr>
                <w:rFonts w:ascii="Arial"/>
                <w:sz w:val="21"/>
              </w:rPr>
            </w:pPr>
            <w:r/>
          </w:p>
          <w:p>
            <w:pPr>
              <w:pStyle w:val="TableText"/>
              <w:ind w:left="116"/>
              <w:spacing w:before="71" w:line="219" w:lineRule="auto"/>
              <w:rPr/>
            </w:pPr>
            <w:r>
              <w:rPr>
                <w:b/>
                <w:bCs/>
                <w:spacing w:val="-4"/>
              </w:rPr>
              <w:t>报名提交材料</w:t>
            </w:r>
          </w:p>
        </w:tc>
        <w:tc>
          <w:tcPr>
            <w:tcW w:w="4850" w:type="dxa"/>
            <w:vAlign w:val="top"/>
          </w:tcPr>
          <w:p>
            <w:pPr>
              <w:pStyle w:val="TableText"/>
              <w:ind w:left="185" w:right="512" w:hanging="29"/>
              <w:spacing w:before="186" w:line="290" w:lineRule="auto"/>
              <w:rPr/>
            </w:pPr>
            <w:r>
              <w:rPr>
                <w:spacing w:val="-1"/>
              </w:rPr>
              <w:t>根据公告要求，在公告期内提供相应报名材</w:t>
            </w:r>
            <w:r>
              <w:rPr>
                <w:spacing w:val="9"/>
              </w:rPr>
              <w:t xml:space="preserve"> </w:t>
            </w:r>
            <w:r>
              <w:rPr/>
              <w:t>料</w:t>
            </w:r>
          </w:p>
        </w:tc>
      </w:tr>
      <w:tr>
        <w:trPr>
          <w:trHeight w:val="570" w:hRule="atLeast"/>
        </w:trPr>
        <w:tc>
          <w:tcPr>
            <w:tcW w:w="2392" w:type="dxa"/>
            <w:vAlign w:val="top"/>
            <w:vMerge w:val="continue"/>
            <w:tcBorders>
              <w:top w:val="nil"/>
            </w:tcBorders>
          </w:tcPr>
          <w:p>
            <w:pPr>
              <w:rPr>
                <w:rFonts w:ascii="Arial"/>
                <w:sz w:val="21"/>
              </w:rPr>
            </w:pPr>
            <w:r/>
          </w:p>
        </w:tc>
        <w:tc>
          <w:tcPr>
            <w:tcW w:w="2387" w:type="dxa"/>
            <w:vAlign w:val="top"/>
          </w:tcPr>
          <w:p>
            <w:pPr>
              <w:pStyle w:val="TableText"/>
              <w:ind w:left="116"/>
              <w:spacing w:before="174" w:line="219" w:lineRule="auto"/>
              <w:rPr/>
            </w:pPr>
            <w:r>
              <w:rPr>
                <w:b/>
                <w:bCs/>
                <w:spacing w:val="-4"/>
              </w:rPr>
              <w:t>报名材料</w:t>
            </w:r>
          </w:p>
        </w:tc>
        <w:tc>
          <w:tcPr>
            <w:tcW w:w="4850" w:type="dxa"/>
            <w:vAlign w:val="top"/>
          </w:tcPr>
          <w:p>
            <w:pPr>
              <w:pStyle w:val="TableText"/>
              <w:ind w:left="185"/>
              <w:spacing w:before="177" w:line="219" w:lineRule="auto"/>
              <w:rPr/>
            </w:pPr>
            <w:r>
              <w:rPr>
                <w:spacing w:val="-1"/>
              </w:rPr>
              <w:t>请登录后下载或预览相关附件</w:t>
            </w:r>
          </w:p>
        </w:tc>
      </w:tr>
      <w:tr>
        <w:trPr>
          <w:trHeight w:val="1909" w:hRule="atLeast"/>
        </w:trPr>
        <w:tc>
          <w:tcPr>
            <w:tcW w:w="2392" w:type="dxa"/>
            <w:vAlign w:val="top"/>
            <w:vMerge w:val="restart"/>
            <w:tcBorders>
              <w:bottom w:val="nil"/>
            </w:tcBorders>
          </w:tcPr>
          <w:p>
            <w:pPr>
              <w:pStyle w:val="TableText"/>
              <w:ind w:left="108" w:right="523"/>
              <w:spacing w:before="187" w:line="278" w:lineRule="auto"/>
              <w:rPr/>
            </w:pPr>
            <w:r>
              <w:rPr>
                <w:b/>
                <w:bCs/>
                <w:spacing w:val="-4"/>
              </w:rPr>
              <w:t>重大事项及其他披</w:t>
            </w:r>
            <w:r>
              <w:rPr>
                <w:spacing w:val="3"/>
              </w:rPr>
              <w:t xml:space="preserve"> </w:t>
            </w:r>
            <w:r>
              <w:rPr>
                <w:b/>
                <w:bCs/>
                <w:spacing w:val="-6"/>
              </w:rPr>
              <w:t>露内容</w:t>
            </w:r>
          </w:p>
        </w:tc>
        <w:tc>
          <w:tcPr>
            <w:tcW w:w="7237" w:type="dxa"/>
            <w:vAlign w:val="top"/>
            <w:gridSpan w:val="2"/>
          </w:tcPr>
          <w:p>
            <w:pPr>
              <w:pStyle w:val="TableText"/>
              <w:ind w:left="156"/>
              <w:spacing w:before="224" w:line="219" w:lineRule="auto"/>
              <w:rPr/>
            </w:pPr>
            <w:r>
              <w:rPr>
                <w:b/>
                <w:bCs/>
                <w:spacing w:val="-2"/>
              </w:rPr>
              <w:t>1、本次租赁活动通过福建省产权交易中心</w:t>
            </w:r>
            <w:r>
              <w:rPr>
                <w:b/>
                <w:bCs/>
                <w:spacing w:val="-3"/>
              </w:rPr>
              <w:t>交易系统</w:t>
            </w:r>
          </w:p>
          <w:p>
            <w:pPr>
              <w:pStyle w:val="TableText"/>
              <w:ind w:left="276"/>
              <w:spacing w:before="12" w:line="214" w:lineRule="auto"/>
              <w:rPr/>
            </w:pPr>
            <w:r>
              <w:rPr>
                <w:b/>
                <w:bCs/>
                <w:spacing w:val="-2"/>
              </w:rPr>
              <w:t>(</w:t>
            </w:r>
            <w:hyperlink w:history="true" r:id="rId10">
              <w:r>
                <w:rPr>
                  <w:b/>
                  <w:bCs/>
                  <w:spacing w:val="-2"/>
                </w:rPr>
                <w:t>https://biz.fjcqjy.com/#/</w:t>
              </w:r>
              <w:r>
                <w:rPr>
                  <w:b/>
                  <w:bCs/>
                  <w:spacing w:val="-3"/>
                </w:rPr>
                <w:t>login</w:t>
              </w:r>
            </w:hyperlink>
            <w:r>
              <w:rPr>
                <w:b/>
                <w:bCs/>
                <w:spacing w:val="-3"/>
              </w:rPr>
              <w:t>)(以下简称“交易系统”)实施，</w:t>
            </w:r>
          </w:p>
          <w:p>
            <w:pPr>
              <w:pStyle w:val="TableText"/>
              <w:ind w:left="156" w:right="45"/>
              <w:spacing w:before="60" w:line="247" w:lineRule="auto"/>
              <w:rPr/>
            </w:pPr>
            <w:r>
              <w:rPr>
                <w:b/>
                <w:bCs/>
                <w:spacing w:val="-3"/>
              </w:rPr>
              <w:t>意向承租方报名、保证金缴纳、竞价、成交确认、资金划转等交易事宜全</w:t>
            </w:r>
            <w:r>
              <w:rPr>
                <w:spacing w:val="6"/>
              </w:rPr>
              <w:t xml:space="preserve"> </w:t>
            </w:r>
            <w:r>
              <w:rPr>
                <w:b/>
                <w:bCs/>
                <w:spacing w:val="-3"/>
              </w:rPr>
              <w:t>部通过“交易系统”完成。</w:t>
            </w:r>
          </w:p>
          <w:p>
            <w:pPr>
              <w:pStyle w:val="TableText"/>
              <w:ind w:left="156"/>
              <w:spacing w:before="21" w:line="218" w:lineRule="auto"/>
              <w:rPr/>
            </w:pPr>
            <w:r>
              <w:rPr>
                <w:b/>
                <w:bCs/>
                <w:u w:val="single" w:color="auto"/>
                <w:spacing w:val="-3"/>
              </w:rPr>
              <w:t>2、意向承租方须在本项目公告截止当日17:00前通过“交易系统”或</w:t>
            </w:r>
          </w:p>
          <w:p>
            <w:pPr>
              <w:pStyle w:val="TableText"/>
              <w:ind w:left="46"/>
              <w:spacing w:before="11" w:line="171" w:lineRule="auto"/>
              <w:rPr/>
            </w:pPr>
            <w:r>
              <w:rPr>
                <w:b/>
                <w:bCs/>
                <w:spacing w:val="1"/>
              </w:rPr>
              <w:t>“福建省产权交易中心微信小程序”完成对本项目的线上报名申请、交纳</w:t>
            </w:r>
          </w:p>
        </w:tc>
      </w:tr>
      <w:tr>
        <w:trPr>
          <w:trHeight w:val="310" w:hRule="atLeast"/>
        </w:trPr>
        <w:tc>
          <w:tcPr>
            <w:tcW w:w="2392" w:type="dxa"/>
            <w:vAlign w:val="top"/>
            <w:vMerge w:val="continue"/>
            <w:tcBorders>
              <w:bottom w:val="nil"/>
              <w:top w:val="nil"/>
            </w:tcBorders>
          </w:tcPr>
          <w:p>
            <w:pPr>
              <w:rPr>
                <w:rFonts w:ascii="Arial"/>
                <w:sz w:val="21"/>
              </w:rPr>
            </w:pPr>
            <w:r/>
          </w:p>
        </w:tc>
        <w:tc>
          <w:tcPr>
            <w:tcW w:w="7237" w:type="dxa"/>
            <w:vAlign w:val="top"/>
            <w:gridSpan w:val="2"/>
          </w:tcPr>
          <w:p>
            <w:pPr>
              <w:pStyle w:val="TableText"/>
              <w:ind w:left="156"/>
              <w:spacing w:before="96" w:line="171" w:lineRule="auto"/>
              <w:rPr/>
            </w:pPr>
            <w:r>
              <w:rPr>
                <w:b/>
                <w:bCs/>
                <w:spacing w:val="-3"/>
              </w:rPr>
              <w:t>交易保证金，否则视为报名无效。报名完成后通过资格审核的意向承租方</w:t>
            </w:r>
          </w:p>
        </w:tc>
      </w:tr>
      <w:tr>
        <w:trPr>
          <w:trHeight w:val="5200" w:hRule="atLeast"/>
        </w:trPr>
        <w:tc>
          <w:tcPr>
            <w:tcW w:w="2392" w:type="dxa"/>
            <w:vAlign w:val="top"/>
            <w:vMerge w:val="continue"/>
            <w:tcBorders>
              <w:bottom w:val="nil"/>
              <w:top w:val="nil"/>
            </w:tcBorders>
          </w:tcPr>
          <w:p>
            <w:pPr>
              <w:rPr>
                <w:rFonts w:ascii="Arial"/>
                <w:sz w:val="21"/>
              </w:rPr>
            </w:pPr>
            <w:r/>
          </w:p>
        </w:tc>
        <w:tc>
          <w:tcPr>
            <w:tcW w:w="7237" w:type="dxa"/>
            <w:vAlign w:val="top"/>
            <w:gridSpan w:val="2"/>
            <w:tcBorders>
              <w:bottom w:val="nil"/>
            </w:tcBorders>
          </w:tcPr>
          <w:p>
            <w:pPr>
              <w:pStyle w:val="TableText"/>
              <w:ind w:left="156"/>
              <w:spacing w:before="75" w:line="218" w:lineRule="auto"/>
              <w:rPr/>
            </w:pPr>
            <w:r>
              <w:rPr>
                <w:b/>
                <w:bCs/>
                <w:u w:val="single" w:color="auto"/>
                <w:spacing w:val="-3"/>
              </w:rPr>
              <w:t>方可参与本项目竞价。</w:t>
            </w:r>
            <w:r>
              <w:rPr>
                <w:u w:val="single" w:color="auto"/>
                <w:spacing w:val="5"/>
              </w:rPr>
              <w:t xml:space="preserve"> </w:t>
            </w:r>
          </w:p>
          <w:p>
            <w:pPr>
              <w:pStyle w:val="TableText"/>
              <w:ind w:left="152"/>
              <w:spacing w:before="53" w:line="236" w:lineRule="auto"/>
              <w:rPr/>
            </w:pPr>
            <w:r>
              <w:rPr>
                <w:spacing w:val="-2"/>
              </w:rPr>
              <w:t>3、出租方和交易中心对租赁标的品质和状况不作</w:t>
            </w:r>
            <w:r>
              <w:rPr>
                <w:spacing w:val="-3"/>
              </w:rPr>
              <w:t>担保，租赁标的品质和状</w:t>
            </w:r>
            <w:r>
              <w:rPr/>
              <w:t xml:space="preserve"> </w:t>
            </w:r>
            <w:r>
              <w:rPr>
                <w:spacing w:val="-1"/>
              </w:rPr>
              <w:t>况以现状为准，意向承租方应当在报名前对租赁标的进行尽职调查(看</w:t>
            </w:r>
          </w:p>
          <w:p>
            <w:pPr>
              <w:pStyle w:val="TableText"/>
              <w:ind w:left="152"/>
              <w:spacing w:before="45" w:line="216" w:lineRule="auto"/>
              <w:rPr/>
            </w:pPr>
            <w:r>
              <w:rPr/>
              <w:t>样),并在充分调查的前提下报名参与竞价，放弃尽</w:t>
            </w:r>
            <w:r>
              <w:rPr>
                <w:spacing w:val="-1"/>
              </w:rPr>
              <w:t>职调查均视为已全面</w:t>
            </w:r>
          </w:p>
          <w:p>
            <w:pPr>
              <w:pStyle w:val="TableText"/>
              <w:ind w:left="152" w:right="4"/>
              <w:spacing w:before="36" w:line="244" w:lineRule="auto"/>
              <w:rPr/>
            </w:pPr>
            <w:r>
              <w:rPr>
                <w:spacing w:val="-1"/>
              </w:rPr>
              <w:t>行使了知情权，并认可租赁标的品质与现状。意向承租方一旦提交报名材</w:t>
            </w:r>
            <w:r>
              <w:rPr>
                <w:spacing w:val="18"/>
              </w:rPr>
              <w:t xml:space="preserve"> </w:t>
            </w:r>
            <w:r>
              <w:rPr>
                <w:spacing w:val="1"/>
              </w:rPr>
              <w:t>料并交纳交易保证金，即表明已完全认可本次交易方式，即表示</w:t>
            </w:r>
            <w:r>
              <w:rPr/>
              <w:t>已充分了 </w:t>
            </w:r>
            <w:r>
              <w:rPr/>
              <w:t>解并接受本项目公告及相关附件的全部内容及要求，充分了解并接受标的</w:t>
            </w:r>
            <w:r>
              <w:rPr>
                <w:spacing w:val="16"/>
              </w:rPr>
              <w:t xml:space="preserve"> </w:t>
            </w:r>
            <w:r>
              <w:rPr/>
              <w:t>一切现状(包括但不限于瑕疵、缺陷和投资风险等),接受本项目公告提</w:t>
            </w:r>
          </w:p>
          <w:p>
            <w:pPr>
              <w:pStyle w:val="TableText"/>
              <w:ind w:left="152" w:right="21"/>
              <w:spacing w:before="35" w:line="241" w:lineRule="auto"/>
              <w:rPr/>
            </w:pPr>
            <w:r>
              <w:rPr/>
              <w:t>出的租赁要求，自愿承担由于对交易标的质量和现状等了解不细或对潜在</w:t>
            </w:r>
            <w:r>
              <w:rPr>
                <w:spacing w:val="11"/>
              </w:rPr>
              <w:t xml:space="preserve"> </w:t>
            </w:r>
            <w:r>
              <w:rPr/>
              <w:t>风险估计不足等引起的一切责任和后果，并不可</w:t>
            </w:r>
            <w:r>
              <w:rPr>
                <w:spacing w:val="-1"/>
              </w:rPr>
              <w:t>撤销地放弃对此提出任何</w:t>
            </w:r>
            <w:r>
              <w:rPr/>
              <w:t xml:space="preserve"> </w:t>
            </w:r>
            <w:r>
              <w:rPr/>
              <w:t>异议或任何索赔的权利。</w:t>
            </w:r>
          </w:p>
          <w:p>
            <w:pPr>
              <w:pStyle w:val="TableText"/>
              <w:ind w:left="152"/>
              <w:spacing w:before="49" w:line="243" w:lineRule="auto"/>
              <w:rPr/>
            </w:pPr>
            <w:r>
              <w:rPr>
                <w:spacing w:val="-2"/>
              </w:rPr>
              <w:t>4、意向承租方一旦提交报名材料并交纳交易保证</w:t>
            </w:r>
            <w:r>
              <w:rPr>
                <w:spacing w:val="-3"/>
              </w:rPr>
              <w:t>金即表示愿以不低于本项</w:t>
            </w:r>
            <w:r>
              <w:rPr/>
              <w:t xml:space="preserve"> </w:t>
            </w:r>
            <w:r>
              <w:rPr/>
              <w:t>目的挂牌价竞租，并愿意通过本项目公告确定的竞价方式进行报价确定承 </w:t>
            </w:r>
            <w:r>
              <w:rPr/>
              <w:t>租方，意向承租方必须充分了解并审慎评估自身对报价的承受能力，谨慎 </w:t>
            </w:r>
            <w:r>
              <w:rPr>
                <w:spacing w:val="-1"/>
              </w:rPr>
              <w:t>进行报价，一旦报价即为不可撤销的报价。</w:t>
            </w:r>
          </w:p>
          <w:p>
            <w:pPr>
              <w:pStyle w:val="TableText"/>
              <w:ind w:left="152"/>
              <w:spacing w:before="40" w:line="232" w:lineRule="auto"/>
              <w:rPr/>
            </w:pPr>
            <w:r>
              <w:rPr>
                <w:spacing w:val="-2"/>
              </w:rPr>
              <w:t>5、交易过程中出租方、交易中心及其工作人员向</w:t>
            </w:r>
            <w:r>
              <w:rPr>
                <w:spacing w:val="-3"/>
              </w:rPr>
              <w:t>意向承租方、承租方提供</w:t>
            </w:r>
            <w:r>
              <w:rPr/>
              <w:t xml:space="preserve"> </w:t>
            </w:r>
            <w:r>
              <w:rPr/>
              <w:t>的包括但不限于政策咨询、标的情况的描述、说明等仅作为参考，意向承</w:t>
            </w:r>
          </w:p>
        </w:tc>
      </w:tr>
    </w:tbl>
    <w:p>
      <w:pPr>
        <w:pStyle w:val="BodyText"/>
        <w:rPr/>
      </w:pPr>
      <w:r/>
    </w:p>
    <w:p>
      <w:pPr>
        <w:sectPr>
          <w:headerReference w:type="default" r:id="rId7"/>
          <w:footerReference w:type="default" r:id="rId8"/>
          <w:pgSz w:w="11910" w:h="16840"/>
          <w:pgMar w:top="500" w:right="510" w:bottom="467" w:left="449" w:header="238" w:footer="262" w:gutter="0"/>
        </w:sectPr>
        <w:rPr/>
      </w:pPr>
    </w:p>
    <w:p>
      <w:pPr>
        <w:spacing w:before="78"/>
        <w:rPr/>
      </w:pPr>
      <w:r/>
    </w:p>
    <w:p>
      <w:pPr>
        <w:spacing w:before="78"/>
        <w:rPr/>
      </w:pPr>
      <w:r/>
    </w:p>
    <w:tbl>
      <w:tblPr>
        <w:tblStyle w:val="TableNormal"/>
        <w:tblW w:w="9629" w:type="dxa"/>
        <w:tblInd w:w="69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392"/>
        <w:gridCol w:w="2397"/>
        <w:gridCol w:w="4840"/>
      </w:tblGrid>
      <w:tr>
        <w:trPr>
          <w:trHeight w:val="2250" w:hRule="atLeast"/>
        </w:trPr>
        <w:tc>
          <w:tcPr>
            <w:tcW w:w="2392" w:type="dxa"/>
            <w:vAlign w:val="top"/>
            <w:tcBorders>
              <w:top w:val="nil"/>
            </w:tcBorders>
          </w:tcPr>
          <w:p>
            <w:pPr>
              <w:rPr>
                <w:rFonts w:ascii="Arial"/>
                <w:sz w:val="21"/>
              </w:rPr>
            </w:pPr>
            <w:r/>
          </w:p>
        </w:tc>
        <w:tc>
          <w:tcPr>
            <w:tcW w:w="7237" w:type="dxa"/>
            <w:vAlign w:val="top"/>
            <w:gridSpan w:val="2"/>
            <w:tcBorders>
              <w:top w:val="nil"/>
            </w:tcBorders>
          </w:tcPr>
          <w:p>
            <w:pPr>
              <w:pStyle w:val="TableText"/>
              <w:ind w:left="172"/>
              <w:spacing w:before="49" w:line="219" w:lineRule="auto"/>
              <w:rPr>
                <w:sz w:val="24"/>
                <w:szCs w:val="24"/>
              </w:rPr>
            </w:pPr>
            <w:r>
              <w:rPr>
                <w:sz w:val="24"/>
                <w:szCs w:val="24"/>
              </w:rPr>
              <w:t>租方、承租方应自行把握交易风险，审慎决</w:t>
            </w:r>
            <w:r>
              <w:rPr>
                <w:sz w:val="24"/>
                <w:szCs w:val="24"/>
                <w:spacing w:val="-1"/>
              </w:rPr>
              <w:t>策。</w:t>
            </w:r>
          </w:p>
          <w:p>
            <w:pPr>
              <w:pStyle w:val="TableText"/>
              <w:ind w:left="172"/>
              <w:spacing w:before="5" w:line="224" w:lineRule="auto"/>
              <w:rPr>
                <w:sz w:val="24"/>
                <w:szCs w:val="24"/>
              </w:rPr>
            </w:pPr>
            <w:r>
              <w:rPr>
                <w:sz w:val="24"/>
                <w:szCs w:val="24"/>
                <w:spacing w:val="-24"/>
              </w:rPr>
              <w:t>6、交易中心不</w:t>
            </w:r>
            <w:r>
              <w:rPr>
                <w:sz w:val="24"/>
                <w:szCs w:val="24"/>
                <w:spacing w:val="-23"/>
              </w:rPr>
              <w:t>对交易标的瑕疵及现有或潜在的风险承担任何担保责任。</w:t>
            </w:r>
            <w:r>
              <w:rPr>
                <w:sz w:val="24"/>
                <w:szCs w:val="24"/>
                <w:spacing w:val="-16"/>
              </w:rPr>
              <w:t>若</w:t>
            </w:r>
            <w:r>
              <w:rPr>
                <w:sz w:val="24"/>
                <w:szCs w:val="24"/>
                <w:spacing w:val="8"/>
              </w:rPr>
              <w:t xml:space="preserve"> </w:t>
            </w:r>
            <w:r>
              <w:rPr>
                <w:sz w:val="24"/>
                <w:szCs w:val="24"/>
                <w:spacing w:val="-13"/>
              </w:rPr>
              <w:t>在看样期至租赁标的移交日期间现场发生变化，最终解释权归出租方所</w:t>
            </w:r>
            <w:r>
              <w:rPr>
                <w:sz w:val="24"/>
                <w:szCs w:val="24"/>
                <w:spacing w:val="9"/>
              </w:rPr>
              <w:t xml:space="preserve"> </w:t>
            </w:r>
            <w:r>
              <w:rPr>
                <w:sz w:val="24"/>
                <w:szCs w:val="24"/>
                <w:spacing w:val="-21"/>
              </w:rPr>
              <w:t>有，交易</w:t>
            </w:r>
            <w:r>
              <w:rPr>
                <w:sz w:val="24"/>
                <w:szCs w:val="24"/>
                <w:spacing w:val="-20"/>
              </w:rPr>
              <w:t>中心不对现场状况进行保证及现场状况变化解释，不承担任何</w:t>
            </w:r>
            <w:r>
              <w:rPr>
                <w:sz w:val="24"/>
                <w:szCs w:val="24"/>
                <w:spacing w:val="-16"/>
              </w:rPr>
              <w:t>责</w:t>
            </w:r>
            <w:r>
              <w:rPr>
                <w:sz w:val="24"/>
                <w:szCs w:val="24"/>
                <w:spacing w:val="13"/>
              </w:rPr>
              <w:t xml:space="preserve"> </w:t>
            </w:r>
            <w:r>
              <w:rPr>
                <w:sz w:val="24"/>
                <w:szCs w:val="24"/>
                <w:spacing w:val="-1"/>
              </w:rPr>
              <w:t>任。</w:t>
            </w:r>
          </w:p>
          <w:p>
            <w:pPr>
              <w:pStyle w:val="TableText"/>
              <w:ind w:left="176"/>
              <w:spacing w:before="30" w:line="224" w:lineRule="auto"/>
              <w:rPr>
                <w:sz w:val="24"/>
                <w:szCs w:val="24"/>
              </w:rPr>
            </w:pPr>
            <w:r>
              <w:rPr>
                <w:sz w:val="24"/>
                <w:szCs w:val="24"/>
                <w:b/>
                <w:bCs/>
                <w:spacing w:val="-19"/>
              </w:rPr>
              <w:t>7、所有(或仅有一</w:t>
            </w:r>
            <w:r>
              <w:rPr>
                <w:sz w:val="24"/>
                <w:szCs w:val="24"/>
                <w:b/>
                <w:bCs/>
                <w:spacing w:val="-18"/>
              </w:rPr>
              <w:t>名)资格审核合格的意向承租方参加网络竞价，但全</w:t>
            </w:r>
            <w:r>
              <w:rPr>
                <w:sz w:val="24"/>
                <w:szCs w:val="24"/>
                <w:b/>
                <w:bCs/>
                <w:spacing w:val="-9"/>
              </w:rPr>
              <w:t>程</w:t>
            </w:r>
            <w:r>
              <w:rPr>
                <w:sz w:val="24"/>
                <w:szCs w:val="24"/>
              </w:rPr>
              <w:t xml:space="preserve"> </w:t>
            </w:r>
            <w:r>
              <w:rPr>
                <w:sz w:val="24"/>
                <w:szCs w:val="24"/>
                <w:b/>
                <w:bCs/>
                <w:spacing w:val="-3"/>
              </w:rPr>
              <w:t>均不报(应)价，其交纳的交易保证金不予返还。</w:t>
            </w:r>
          </w:p>
        </w:tc>
      </w:tr>
      <w:tr>
        <w:trPr>
          <w:trHeight w:val="600" w:hRule="atLeast"/>
        </w:trPr>
        <w:tc>
          <w:tcPr>
            <w:tcW w:w="2392" w:type="dxa"/>
            <w:vAlign w:val="top"/>
            <w:vMerge w:val="restart"/>
            <w:tcBorders>
              <w:bottom w:val="nil"/>
            </w:tcBorders>
          </w:tcPr>
          <w:p>
            <w:pPr>
              <w:pStyle w:val="TableText"/>
              <w:ind w:left="118"/>
              <w:spacing w:before="166" w:line="219" w:lineRule="auto"/>
              <w:rPr>
                <w:sz w:val="24"/>
                <w:szCs w:val="24"/>
              </w:rPr>
            </w:pPr>
            <w:r>
              <w:rPr>
                <w:sz w:val="24"/>
                <w:szCs w:val="24"/>
                <w:b/>
                <w:bCs/>
                <w:spacing w:val="-5"/>
              </w:rPr>
              <w:t>保证金条款</w:t>
            </w:r>
          </w:p>
        </w:tc>
        <w:tc>
          <w:tcPr>
            <w:tcW w:w="2397" w:type="dxa"/>
            <w:vAlign w:val="top"/>
          </w:tcPr>
          <w:p>
            <w:pPr>
              <w:pStyle w:val="TableText"/>
              <w:ind w:left="116"/>
              <w:spacing w:before="176" w:line="219" w:lineRule="auto"/>
              <w:rPr>
                <w:sz w:val="24"/>
                <w:szCs w:val="24"/>
              </w:rPr>
            </w:pPr>
            <w:r>
              <w:rPr>
                <w:sz w:val="24"/>
                <w:szCs w:val="24"/>
                <w:b/>
                <w:bCs/>
                <w:spacing w:val="-6"/>
              </w:rPr>
              <w:t>交纳金额</w:t>
            </w:r>
          </w:p>
        </w:tc>
        <w:tc>
          <w:tcPr>
            <w:tcW w:w="4840" w:type="dxa"/>
            <w:vAlign w:val="top"/>
          </w:tcPr>
          <w:p>
            <w:pPr>
              <w:pStyle w:val="TableText"/>
              <w:ind w:left="146"/>
              <w:spacing w:before="180" w:line="220" w:lineRule="auto"/>
              <w:rPr>
                <w:sz w:val="24"/>
                <w:szCs w:val="24"/>
              </w:rPr>
            </w:pPr>
            <w:r>
              <w:rPr>
                <w:sz w:val="24"/>
                <w:szCs w:val="24"/>
                <w:spacing w:val="3"/>
              </w:rPr>
              <w:t>5万元</w:t>
            </w:r>
          </w:p>
        </w:tc>
      </w:tr>
      <w:tr>
        <w:trPr>
          <w:trHeight w:val="1240" w:hRule="atLeast"/>
        </w:trPr>
        <w:tc>
          <w:tcPr>
            <w:tcW w:w="2392" w:type="dxa"/>
            <w:vAlign w:val="top"/>
            <w:vMerge w:val="continue"/>
            <w:tcBorders>
              <w:bottom w:val="nil"/>
              <w:top w:val="nil"/>
            </w:tcBorders>
          </w:tcPr>
          <w:p>
            <w:pPr>
              <w:rPr>
                <w:rFonts w:ascii="Arial"/>
                <w:sz w:val="21"/>
              </w:rPr>
            </w:pPr>
            <w:r/>
          </w:p>
        </w:tc>
        <w:tc>
          <w:tcPr>
            <w:tcW w:w="2397" w:type="dxa"/>
            <w:vAlign w:val="top"/>
          </w:tcPr>
          <w:p>
            <w:pPr>
              <w:spacing w:line="415" w:lineRule="auto"/>
              <w:rPr>
                <w:rFonts w:ascii="Arial"/>
                <w:sz w:val="21"/>
              </w:rPr>
            </w:pPr>
            <w:r/>
          </w:p>
          <w:p>
            <w:pPr>
              <w:pStyle w:val="TableText"/>
              <w:ind w:left="116"/>
              <w:spacing w:before="78" w:line="219" w:lineRule="auto"/>
              <w:rPr>
                <w:sz w:val="24"/>
                <w:szCs w:val="24"/>
              </w:rPr>
            </w:pPr>
            <w:r>
              <w:rPr>
                <w:sz w:val="24"/>
                <w:szCs w:val="24"/>
                <w:b/>
                <w:bCs/>
                <w:spacing w:val="1"/>
              </w:rPr>
              <w:t>保证金说明</w:t>
            </w:r>
          </w:p>
        </w:tc>
        <w:tc>
          <w:tcPr>
            <w:tcW w:w="4840" w:type="dxa"/>
            <w:vAlign w:val="top"/>
          </w:tcPr>
          <w:p>
            <w:pPr>
              <w:pStyle w:val="TableText"/>
              <w:ind w:left="136" w:right="242" w:firstLine="119"/>
              <w:spacing w:before="158" w:line="265" w:lineRule="auto"/>
              <w:rPr>
                <w:sz w:val="24"/>
                <w:szCs w:val="24"/>
              </w:rPr>
            </w:pPr>
            <w:r>
              <w:rPr>
                <w:sz w:val="24"/>
                <w:szCs w:val="24"/>
              </w:rPr>
              <w:t>所有(或仅有一名)资格审核合格的意向承</w:t>
            </w:r>
            <w:r>
              <w:rPr>
                <w:sz w:val="24"/>
                <w:szCs w:val="24"/>
                <w:spacing w:val="10"/>
              </w:rPr>
              <w:t xml:space="preserve"> </w:t>
            </w:r>
            <w:r>
              <w:rPr>
                <w:sz w:val="24"/>
                <w:szCs w:val="24"/>
                <w:spacing w:val="2"/>
              </w:rPr>
              <w:t>租方参加网络竞价，但全程均不报(应)</w:t>
            </w:r>
          </w:p>
          <w:p>
            <w:pPr>
              <w:pStyle w:val="TableText"/>
              <w:ind w:left="146"/>
              <w:spacing w:before="1" w:line="217" w:lineRule="auto"/>
              <w:rPr>
                <w:sz w:val="24"/>
                <w:szCs w:val="24"/>
              </w:rPr>
            </w:pPr>
            <w:r>
              <w:rPr>
                <w:sz w:val="24"/>
                <w:szCs w:val="24"/>
                <w:spacing w:val="-1"/>
              </w:rPr>
              <w:t>价，其交纳的交易保证金不予返还。</w:t>
            </w:r>
          </w:p>
        </w:tc>
      </w:tr>
      <w:tr>
        <w:trPr>
          <w:trHeight w:val="610" w:hRule="atLeast"/>
        </w:trPr>
        <w:tc>
          <w:tcPr>
            <w:tcW w:w="2392" w:type="dxa"/>
            <w:vAlign w:val="top"/>
            <w:vMerge w:val="continue"/>
            <w:tcBorders>
              <w:bottom w:val="nil"/>
              <w:top w:val="nil"/>
            </w:tcBorders>
          </w:tcPr>
          <w:p>
            <w:pPr>
              <w:rPr>
                <w:rFonts w:ascii="Arial"/>
                <w:sz w:val="21"/>
              </w:rPr>
            </w:pPr>
            <w:r/>
          </w:p>
        </w:tc>
        <w:tc>
          <w:tcPr>
            <w:tcW w:w="2397" w:type="dxa"/>
            <w:vAlign w:val="top"/>
          </w:tcPr>
          <w:p>
            <w:pPr>
              <w:pStyle w:val="TableText"/>
              <w:ind w:left="116"/>
              <w:spacing w:before="187" w:line="220" w:lineRule="auto"/>
              <w:rPr>
                <w:sz w:val="24"/>
                <w:szCs w:val="24"/>
              </w:rPr>
            </w:pPr>
            <w:r>
              <w:rPr>
                <w:sz w:val="24"/>
                <w:szCs w:val="24"/>
                <w:b/>
                <w:bCs/>
              </w:rPr>
              <w:t>交纳截止时间</w:t>
            </w:r>
          </w:p>
        </w:tc>
        <w:tc>
          <w:tcPr>
            <w:tcW w:w="4840" w:type="dxa"/>
            <w:vAlign w:val="top"/>
          </w:tcPr>
          <w:p>
            <w:pPr>
              <w:pStyle w:val="TableText"/>
              <w:ind w:left="136"/>
              <w:spacing w:before="213" w:line="239" w:lineRule="auto"/>
              <w:rPr>
                <w:sz w:val="24"/>
                <w:szCs w:val="24"/>
              </w:rPr>
            </w:pPr>
            <w:r>
              <w:rPr>
                <w:sz w:val="24"/>
                <w:szCs w:val="24"/>
                <w:spacing w:val="-1"/>
              </w:rPr>
              <w:t>2026-08-1817:00:00</w:t>
            </w:r>
          </w:p>
        </w:tc>
      </w:tr>
      <w:tr>
        <w:trPr>
          <w:trHeight w:val="2290" w:hRule="atLeast"/>
        </w:trPr>
        <w:tc>
          <w:tcPr>
            <w:tcW w:w="2392" w:type="dxa"/>
            <w:vAlign w:val="top"/>
            <w:vMerge w:val="continue"/>
            <w:tcBorders>
              <w:bottom w:val="nil"/>
              <w:top w:val="nil"/>
            </w:tcBorders>
          </w:tcPr>
          <w:p>
            <w:pPr>
              <w:rPr>
                <w:rFonts w:ascii="Arial"/>
                <w:sz w:val="21"/>
              </w:rPr>
            </w:pPr>
            <w:r/>
          </w:p>
        </w:tc>
        <w:tc>
          <w:tcPr>
            <w:tcW w:w="2397" w:type="dxa"/>
            <w:vAlign w:val="top"/>
          </w:tcPr>
          <w:p>
            <w:pPr>
              <w:spacing w:line="314" w:lineRule="auto"/>
              <w:rPr>
                <w:rFonts w:ascii="Arial"/>
                <w:sz w:val="21"/>
              </w:rPr>
            </w:pPr>
            <w:r/>
          </w:p>
          <w:p>
            <w:pPr>
              <w:spacing w:line="314" w:lineRule="auto"/>
              <w:rPr>
                <w:rFonts w:ascii="Arial"/>
                <w:sz w:val="21"/>
              </w:rPr>
            </w:pPr>
            <w:r/>
          </w:p>
          <w:p>
            <w:pPr>
              <w:spacing w:line="315" w:lineRule="auto"/>
              <w:rPr>
                <w:rFonts w:ascii="Arial"/>
                <w:sz w:val="21"/>
              </w:rPr>
            </w:pPr>
            <w:r/>
          </w:p>
          <w:p>
            <w:pPr>
              <w:pStyle w:val="TableText"/>
              <w:ind w:left="116"/>
              <w:spacing w:before="78" w:line="220" w:lineRule="auto"/>
              <w:rPr>
                <w:sz w:val="24"/>
                <w:szCs w:val="24"/>
              </w:rPr>
            </w:pPr>
            <w:r>
              <w:rPr>
                <w:sz w:val="24"/>
                <w:szCs w:val="24"/>
                <w:b/>
                <w:bCs/>
                <w:spacing w:val="-2"/>
              </w:rPr>
              <w:t>交纳注意事项</w:t>
            </w:r>
          </w:p>
        </w:tc>
        <w:tc>
          <w:tcPr>
            <w:tcW w:w="4840" w:type="dxa"/>
            <w:vAlign w:val="top"/>
          </w:tcPr>
          <w:p>
            <w:pPr>
              <w:pStyle w:val="TableText"/>
              <w:ind w:left="146"/>
              <w:spacing w:before="169" w:line="219" w:lineRule="auto"/>
              <w:rPr>
                <w:sz w:val="24"/>
                <w:szCs w:val="24"/>
              </w:rPr>
            </w:pPr>
            <w:r>
              <w:rPr>
                <w:sz w:val="24"/>
                <w:szCs w:val="24"/>
              </w:rPr>
              <w:t>1、根据交易系统提示缴纳。</w:t>
            </w:r>
          </w:p>
          <w:p>
            <w:pPr>
              <w:pStyle w:val="TableText"/>
              <w:ind w:left="136"/>
              <w:spacing w:before="65" w:line="219" w:lineRule="auto"/>
              <w:rPr>
                <w:sz w:val="24"/>
                <w:szCs w:val="24"/>
              </w:rPr>
            </w:pPr>
            <w:r>
              <w:rPr>
                <w:sz w:val="24"/>
                <w:szCs w:val="24"/>
              </w:rPr>
              <w:t>2、意向承租方应通过交易系统“小额账</w:t>
            </w:r>
          </w:p>
          <w:p>
            <w:pPr>
              <w:pStyle w:val="TableText"/>
              <w:ind w:left="146" w:right="108" w:hanging="10"/>
              <w:spacing w:before="55" w:line="244" w:lineRule="auto"/>
              <w:rPr>
                <w:sz w:val="24"/>
                <w:szCs w:val="24"/>
              </w:rPr>
            </w:pPr>
            <w:r>
              <w:rPr>
                <w:sz w:val="24"/>
                <w:szCs w:val="24"/>
                <w:spacing w:val="1"/>
              </w:rPr>
              <w:t>户”充值交易保证金，充值后务必回到交易</w:t>
            </w:r>
            <w:r>
              <w:rPr>
                <w:sz w:val="24"/>
                <w:szCs w:val="24"/>
                <w:spacing w:val="5"/>
              </w:rPr>
              <w:t xml:space="preserve"> </w:t>
            </w:r>
            <w:r>
              <w:rPr>
                <w:sz w:val="24"/>
                <w:szCs w:val="24"/>
              </w:rPr>
              <w:t>系统“确认支付”。</w:t>
            </w:r>
          </w:p>
          <w:p>
            <w:pPr>
              <w:pStyle w:val="TableText"/>
              <w:ind w:left="136"/>
              <w:spacing w:before="55" w:line="220" w:lineRule="auto"/>
              <w:rPr>
                <w:sz w:val="24"/>
                <w:szCs w:val="24"/>
              </w:rPr>
            </w:pPr>
            <w:r>
              <w:rPr>
                <w:sz w:val="24"/>
                <w:szCs w:val="24"/>
                <w:spacing w:val="-1"/>
              </w:rPr>
              <w:t>3、交纳资金以到达指定账户为准。</w:t>
            </w:r>
          </w:p>
        </w:tc>
      </w:tr>
      <w:tr>
        <w:trPr>
          <w:trHeight w:val="7550" w:hRule="atLeast"/>
        </w:trPr>
        <w:tc>
          <w:tcPr>
            <w:tcW w:w="2392" w:type="dxa"/>
            <w:vAlign w:val="top"/>
            <w:vMerge w:val="continue"/>
            <w:tcBorders>
              <w:bottom w:val="nil"/>
              <w:top w:val="nil"/>
            </w:tcBorders>
          </w:tcPr>
          <w:p>
            <w:pPr>
              <w:rPr>
                <w:rFonts w:ascii="Arial"/>
                <w:sz w:val="21"/>
              </w:rPr>
            </w:pPr>
            <w:r/>
          </w:p>
        </w:tc>
        <w:tc>
          <w:tcPr>
            <w:tcW w:w="2397" w:type="dxa"/>
            <w:vAlign w:val="top"/>
            <w:tcBorders>
              <w:bottom w:val="nil"/>
            </w:tcBorders>
          </w:tcPr>
          <w:p>
            <w:pPr>
              <w:pStyle w:val="TableText"/>
              <w:ind w:left="116"/>
              <w:spacing w:before="197" w:line="220" w:lineRule="auto"/>
              <w:rPr>
                <w:sz w:val="24"/>
                <w:szCs w:val="24"/>
              </w:rPr>
            </w:pPr>
            <w:r>
              <w:rPr>
                <w:sz w:val="24"/>
                <w:szCs w:val="24"/>
                <w:b/>
                <w:bCs/>
                <w:spacing w:val="-4"/>
              </w:rPr>
              <w:t>保证金处置方式</w:t>
            </w:r>
          </w:p>
        </w:tc>
        <w:tc>
          <w:tcPr>
            <w:tcW w:w="4840" w:type="dxa"/>
            <w:vAlign w:val="top"/>
            <w:tcBorders>
              <w:bottom w:val="nil"/>
            </w:tcBorders>
          </w:tcPr>
          <w:p>
            <w:pPr>
              <w:pStyle w:val="TableText"/>
              <w:ind w:left="136" w:right="115" w:firstLine="59"/>
              <w:spacing w:before="201" w:line="258" w:lineRule="auto"/>
              <w:rPr>
                <w:sz w:val="24"/>
                <w:szCs w:val="24"/>
              </w:rPr>
            </w:pPr>
            <w:r>
              <w:rPr>
                <w:sz w:val="24"/>
                <w:szCs w:val="24"/>
                <w:spacing w:val="1"/>
              </w:rPr>
              <w:t>1、交易中心在出租方和承租方通过“交易</w:t>
            </w:r>
            <w:r>
              <w:rPr>
                <w:sz w:val="24"/>
                <w:szCs w:val="24"/>
                <w:spacing w:val="5"/>
              </w:rPr>
              <w:t xml:space="preserve"> </w:t>
            </w:r>
            <w:r>
              <w:rPr>
                <w:sz w:val="24"/>
                <w:szCs w:val="24"/>
              </w:rPr>
              <w:t>系统”提交经双方确认有效签章的“交割确</w:t>
            </w:r>
            <w:r>
              <w:rPr>
                <w:sz w:val="24"/>
                <w:szCs w:val="24"/>
                <w:spacing w:val="17"/>
              </w:rPr>
              <w:t xml:space="preserve"> </w:t>
            </w:r>
            <w:r>
              <w:rPr>
                <w:sz w:val="24"/>
                <w:szCs w:val="24"/>
              </w:rPr>
              <w:t>认单”且出租方和承租方点击“确认交割完</w:t>
            </w:r>
            <w:r>
              <w:rPr>
                <w:sz w:val="24"/>
                <w:szCs w:val="24"/>
                <w:spacing w:val="11"/>
              </w:rPr>
              <w:t xml:space="preserve"> </w:t>
            </w:r>
            <w:r>
              <w:rPr>
                <w:sz w:val="24"/>
                <w:szCs w:val="24"/>
              </w:rPr>
              <w:t>成”后或由出租方上传“交割确认单”并提</w:t>
            </w:r>
            <w:r>
              <w:rPr>
                <w:sz w:val="24"/>
                <w:szCs w:val="24"/>
                <w:spacing w:val="9"/>
              </w:rPr>
              <w:t xml:space="preserve"> </w:t>
            </w:r>
            <w:r>
              <w:rPr>
                <w:sz w:val="24"/>
                <w:szCs w:val="24"/>
                <w:spacing w:val="3"/>
              </w:rPr>
              <w:t>交已完成相关事项证明材料原件(或复印件</w:t>
            </w:r>
            <w:r>
              <w:rPr>
                <w:sz w:val="24"/>
                <w:szCs w:val="24"/>
                <w:spacing w:val="12"/>
              </w:rPr>
              <w:t xml:space="preserve"> </w:t>
            </w:r>
            <w:r>
              <w:rPr>
                <w:sz w:val="24"/>
                <w:szCs w:val="24"/>
                <w:spacing w:val="2"/>
              </w:rPr>
              <w:t>加盖公章并校验原件)后，交易中心将剩余</w:t>
            </w:r>
            <w:r>
              <w:rPr>
                <w:sz w:val="24"/>
                <w:szCs w:val="24"/>
                <w:spacing w:val="11"/>
              </w:rPr>
              <w:t xml:space="preserve"> </w:t>
            </w:r>
            <w:r>
              <w:rPr>
                <w:sz w:val="24"/>
                <w:szCs w:val="24"/>
                <w:spacing w:val="3"/>
              </w:rPr>
              <w:t>交易保证金(扣除支付给交易中心交易服务</w:t>
            </w:r>
            <w:r>
              <w:rPr>
                <w:sz w:val="24"/>
                <w:szCs w:val="24"/>
                <w:spacing w:val="13"/>
              </w:rPr>
              <w:t xml:space="preserve"> </w:t>
            </w:r>
            <w:r>
              <w:rPr>
                <w:sz w:val="24"/>
                <w:szCs w:val="24"/>
                <w:spacing w:val="1"/>
              </w:rPr>
              <w:t>费后的余额)无息原渠道退还承租方。</w:t>
            </w:r>
          </w:p>
          <w:p>
            <w:pPr>
              <w:pStyle w:val="TableText"/>
              <w:ind w:left="136" w:right="116" w:firstLine="59"/>
              <w:spacing w:before="65" w:line="250" w:lineRule="auto"/>
              <w:rPr>
                <w:sz w:val="24"/>
                <w:szCs w:val="24"/>
              </w:rPr>
            </w:pPr>
            <w:r>
              <w:rPr>
                <w:sz w:val="24"/>
                <w:szCs w:val="24"/>
              </w:rPr>
              <w:t>2、未成交的意向承租方不存在违规违约情</w:t>
            </w:r>
            <w:r>
              <w:rPr>
                <w:sz w:val="24"/>
                <w:szCs w:val="24"/>
                <w:spacing w:val="10"/>
              </w:rPr>
              <w:t xml:space="preserve"> </w:t>
            </w:r>
            <w:r>
              <w:rPr>
                <w:sz w:val="24"/>
                <w:szCs w:val="24"/>
              </w:rPr>
              <w:t>形的，其交纳的交易保证金在承租方确定后</w:t>
            </w:r>
            <w:r>
              <w:rPr>
                <w:sz w:val="24"/>
                <w:szCs w:val="24"/>
                <w:spacing w:val="16"/>
              </w:rPr>
              <w:t xml:space="preserve"> </w:t>
            </w:r>
            <w:r>
              <w:rPr>
                <w:sz w:val="24"/>
                <w:szCs w:val="24"/>
                <w:spacing w:val="1"/>
              </w:rPr>
              <w:t>3个工作日内全额无息返还。</w:t>
            </w:r>
          </w:p>
          <w:p>
            <w:pPr>
              <w:pStyle w:val="TableText"/>
              <w:ind w:left="136" w:right="73" w:firstLine="59"/>
              <w:spacing w:before="42" w:line="259" w:lineRule="auto"/>
              <w:rPr>
                <w:sz w:val="24"/>
                <w:szCs w:val="24"/>
              </w:rPr>
            </w:pPr>
            <w:r>
              <w:rPr>
                <w:sz w:val="24"/>
                <w:szCs w:val="24"/>
                <w:spacing w:val="1"/>
              </w:rPr>
              <w:t>3、若非出租方原因或不可抗力因素，意向</w:t>
            </w:r>
            <w:r>
              <w:rPr>
                <w:sz w:val="24"/>
                <w:szCs w:val="24"/>
                <w:spacing w:val="5"/>
              </w:rPr>
              <w:t xml:space="preserve"> </w:t>
            </w:r>
            <w:r>
              <w:rPr>
                <w:sz w:val="24"/>
                <w:szCs w:val="24"/>
                <w:spacing w:val="3"/>
              </w:rPr>
              <w:t>承租方或承租方发生下列任何情况之一时，</w:t>
            </w:r>
            <w:r>
              <w:rPr>
                <w:sz w:val="24"/>
                <w:szCs w:val="24"/>
                <w:spacing w:val="2"/>
              </w:rPr>
              <w:t xml:space="preserve"> </w:t>
            </w:r>
            <w:r>
              <w:rPr>
                <w:sz w:val="24"/>
                <w:szCs w:val="24"/>
                <w:b/>
                <w:bCs/>
                <w:spacing w:val="-4"/>
              </w:rPr>
              <w:t>交易中心或出租方将取消其意向承租方资格</w:t>
            </w:r>
            <w:r>
              <w:rPr>
                <w:sz w:val="24"/>
                <w:szCs w:val="24"/>
                <w:spacing w:val="16"/>
              </w:rPr>
              <w:t xml:space="preserve"> </w:t>
            </w:r>
            <w:r>
              <w:rPr>
                <w:sz w:val="24"/>
                <w:szCs w:val="24"/>
                <w:b/>
                <w:bCs/>
                <w:spacing w:val="-3"/>
              </w:rPr>
              <w:t>或者受让资格，其交纳的交易保证金不予返</w:t>
            </w:r>
            <w:r>
              <w:rPr>
                <w:sz w:val="24"/>
                <w:szCs w:val="24"/>
              </w:rPr>
              <w:t xml:space="preserve"> </w:t>
            </w:r>
            <w:r>
              <w:rPr>
                <w:sz w:val="24"/>
                <w:szCs w:val="24"/>
                <w:b/>
                <w:bCs/>
                <w:spacing w:val="-3"/>
              </w:rPr>
              <w:t>还，该笔交易保证金扣除应支付给交易中心</w:t>
            </w:r>
            <w:r>
              <w:rPr>
                <w:sz w:val="24"/>
                <w:szCs w:val="24"/>
                <w:spacing w:val="3"/>
              </w:rPr>
              <w:t xml:space="preserve"> </w:t>
            </w:r>
            <w:r>
              <w:rPr>
                <w:sz w:val="24"/>
                <w:szCs w:val="24"/>
                <w:b/>
                <w:bCs/>
                <w:spacing w:val="-3"/>
              </w:rPr>
              <w:t>的交易服务费后的余额归出租方所有</w:t>
            </w:r>
            <w:r>
              <w:rPr>
                <w:sz w:val="24"/>
                <w:szCs w:val="24"/>
                <w:spacing w:val="-3"/>
              </w:rPr>
              <w:t>，且包</w:t>
            </w:r>
            <w:r>
              <w:rPr>
                <w:sz w:val="24"/>
                <w:szCs w:val="24"/>
                <w:spacing w:val="15"/>
              </w:rPr>
              <w:t xml:space="preserve"> </w:t>
            </w:r>
            <w:r>
              <w:rPr>
                <w:sz w:val="24"/>
                <w:szCs w:val="24"/>
                <w:spacing w:val="-1"/>
              </w:rPr>
              <w:t>括但不限于下列任何情况之一及意向承租方</w:t>
            </w:r>
            <w:r>
              <w:rPr>
                <w:sz w:val="24"/>
                <w:szCs w:val="24"/>
                <w:spacing w:val="8"/>
              </w:rPr>
              <w:t xml:space="preserve"> </w:t>
            </w:r>
            <w:r>
              <w:rPr>
                <w:sz w:val="24"/>
                <w:szCs w:val="24"/>
                <w:spacing w:val="7"/>
              </w:rPr>
              <w:t>(承租方)实施的任何行为给交易中心、出  </w:t>
            </w:r>
            <w:r>
              <w:rPr>
                <w:sz w:val="24"/>
                <w:szCs w:val="24"/>
              </w:rPr>
              <w:t>租方造成损失或造成交易中心、出租方被第</w:t>
            </w:r>
            <w:r>
              <w:rPr>
                <w:sz w:val="24"/>
                <w:szCs w:val="24"/>
                <w:spacing w:val="14"/>
              </w:rPr>
              <w:t xml:space="preserve"> </w:t>
            </w:r>
            <w:r>
              <w:rPr>
                <w:sz w:val="24"/>
                <w:szCs w:val="24"/>
                <w:spacing w:val="6"/>
              </w:rPr>
              <w:t>三人索赔或主张任何权利的，意向承租方</w:t>
            </w:r>
          </w:p>
        </w:tc>
      </w:tr>
    </w:tbl>
    <w:p>
      <w:pPr>
        <w:pStyle w:val="BodyText"/>
        <w:rPr/>
      </w:pPr>
      <w:r/>
    </w:p>
    <w:p>
      <w:pPr>
        <w:sectPr>
          <w:headerReference w:type="default" r:id="rId4"/>
          <w:footerReference w:type="default" r:id="rId11"/>
          <w:pgSz w:w="11910" w:h="16840"/>
          <w:pgMar w:top="500" w:right="514" w:bottom="467" w:left="449" w:header="238" w:footer="262" w:gutter="0"/>
        </w:sectPr>
        <w:rPr/>
      </w:pPr>
    </w:p>
    <w:p>
      <w:pPr>
        <w:spacing w:before="91"/>
        <w:rPr/>
      </w:pPr>
      <w:r/>
    </w:p>
    <w:p>
      <w:pPr>
        <w:spacing w:before="90"/>
        <w:rPr/>
      </w:pPr>
      <w:r/>
    </w:p>
    <w:tbl>
      <w:tblPr>
        <w:tblStyle w:val="TableNormal"/>
        <w:tblW w:w="9510" w:type="dxa"/>
        <w:tblInd w:w="69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472"/>
        <w:gridCol w:w="2347"/>
        <w:gridCol w:w="3267"/>
        <w:gridCol w:w="1424"/>
      </w:tblGrid>
      <w:tr>
        <w:trPr>
          <w:trHeight w:val="11047" w:hRule="atLeast"/>
        </w:trPr>
        <w:tc>
          <w:tcPr>
            <w:tcW w:w="2472" w:type="dxa"/>
            <w:vAlign w:val="top"/>
          </w:tcPr>
          <w:p>
            <w:pPr>
              <w:rPr>
                <w:rFonts w:ascii="Arial"/>
                <w:sz w:val="21"/>
              </w:rPr>
            </w:pPr>
            <w:r/>
          </w:p>
        </w:tc>
        <w:tc>
          <w:tcPr>
            <w:tcW w:w="2347" w:type="dxa"/>
            <w:vAlign w:val="top"/>
          </w:tcPr>
          <w:p>
            <w:pPr>
              <w:rPr>
                <w:rFonts w:ascii="Arial"/>
                <w:sz w:val="21"/>
              </w:rPr>
            </w:pPr>
            <w:r/>
          </w:p>
        </w:tc>
        <w:tc>
          <w:tcPr>
            <w:tcW w:w="4691" w:type="dxa"/>
            <w:vAlign w:val="top"/>
            <w:gridSpan w:val="2"/>
          </w:tcPr>
          <w:p>
            <w:pPr>
              <w:pStyle w:val="TableText"/>
              <w:ind w:firstLine="123"/>
              <w:spacing w:before="25" w:line="252" w:lineRule="auto"/>
              <w:rPr>
                <w:sz w:val="25"/>
                <w:szCs w:val="25"/>
              </w:rPr>
            </w:pPr>
            <w:r>
              <w:rPr>
                <w:sz w:val="25"/>
                <w:szCs w:val="25"/>
                <w:spacing w:val="-3"/>
              </w:rPr>
              <w:t>(承租方)应无条件全额赔偿或补偿交易中</w:t>
            </w:r>
            <w:r>
              <w:rPr>
                <w:sz w:val="25"/>
                <w:szCs w:val="25"/>
                <w:spacing w:val="17"/>
              </w:rPr>
              <w:t xml:space="preserve"> </w:t>
            </w:r>
            <w:r>
              <w:rPr>
                <w:sz w:val="25"/>
                <w:szCs w:val="25"/>
                <w:spacing w:val="4"/>
              </w:rPr>
              <w:t>心、出租方的损失及由此产生的一切费用</w:t>
            </w:r>
            <w:r>
              <w:rPr>
                <w:sz w:val="25"/>
                <w:szCs w:val="25"/>
                <w:spacing w:val="14"/>
              </w:rPr>
              <w:t xml:space="preserve"> </w:t>
            </w:r>
            <w:r>
              <w:rPr>
                <w:sz w:val="25"/>
                <w:szCs w:val="25"/>
                <w:spacing w:val="9"/>
              </w:rPr>
              <w:t>【包括但不限于各种赔偿费、罚款(金)、</w:t>
            </w:r>
            <w:r>
              <w:rPr>
                <w:sz w:val="25"/>
                <w:szCs w:val="25"/>
                <w:spacing w:val="8"/>
              </w:rPr>
              <w:t xml:space="preserve"> </w:t>
            </w:r>
            <w:r>
              <w:rPr>
                <w:sz w:val="25"/>
                <w:szCs w:val="25"/>
                <w:spacing w:val="2"/>
              </w:rPr>
              <w:t>诉讼(仲裁)案件受理费、诉讼(仲裁)代</w:t>
            </w:r>
          </w:p>
          <w:p>
            <w:pPr>
              <w:pStyle w:val="TableText"/>
              <w:ind w:left="56"/>
              <w:spacing w:before="15" w:line="220" w:lineRule="auto"/>
              <w:rPr>
                <w:sz w:val="25"/>
                <w:szCs w:val="25"/>
              </w:rPr>
            </w:pPr>
            <w:r>
              <w:rPr>
                <w:sz w:val="25"/>
                <w:szCs w:val="25"/>
                <w:spacing w:val="2"/>
              </w:rPr>
              <w:t>理费及为此支出的其它合理费用】:</w:t>
            </w:r>
          </w:p>
          <w:p>
            <w:pPr>
              <w:pStyle w:val="TableText"/>
              <w:ind w:left="49" w:right="268" w:firstLine="229"/>
              <w:spacing w:before="17" w:line="237" w:lineRule="auto"/>
              <w:rPr>
                <w:sz w:val="25"/>
                <w:szCs w:val="25"/>
              </w:rPr>
            </w:pPr>
            <w:r>
              <w:rPr>
                <w:sz w:val="25"/>
                <w:szCs w:val="25"/>
                <w:b/>
                <w:bCs/>
                <w:spacing w:val="-3"/>
              </w:rPr>
              <w:t>(1)所有(或仅有一名)资格审核合格的</w:t>
            </w:r>
            <w:r>
              <w:rPr>
                <w:sz w:val="25"/>
                <w:szCs w:val="25"/>
                <w:spacing w:val="13"/>
              </w:rPr>
              <w:t xml:space="preserve"> </w:t>
            </w:r>
            <w:r>
              <w:rPr>
                <w:sz w:val="25"/>
                <w:szCs w:val="25"/>
                <w:b/>
                <w:bCs/>
              </w:rPr>
              <w:t>意向承租方参加网络竞价但均不报(应)</w:t>
            </w:r>
            <w:r>
              <w:rPr>
                <w:sz w:val="25"/>
                <w:szCs w:val="25"/>
              </w:rPr>
              <w:t xml:space="preserve"> </w:t>
            </w:r>
            <w:r>
              <w:rPr>
                <w:sz w:val="25"/>
                <w:szCs w:val="25"/>
                <w:b/>
                <w:bCs/>
                <w:spacing w:val="7"/>
              </w:rPr>
              <w:t>价</w:t>
            </w:r>
            <w:r>
              <w:rPr>
                <w:sz w:val="25"/>
                <w:szCs w:val="25"/>
                <w:spacing w:val="62"/>
              </w:rPr>
              <w:t xml:space="preserve"> </w:t>
            </w:r>
            <w:r>
              <w:rPr>
                <w:sz w:val="25"/>
                <w:szCs w:val="25"/>
                <w:b/>
                <w:bCs/>
                <w:spacing w:val="7"/>
              </w:rPr>
              <w:t>；</w:t>
            </w:r>
          </w:p>
          <w:p>
            <w:pPr>
              <w:pStyle w:val="TableText"/>
              <w:ind w:left="15" w:firstLine="129"/>
              <w:spacing w:before="68" w:line="245" w:lineRule="auto"/>
              <w:rPr>
                <w:sz w:val="25"/>
                <w:szCs w:val="25"/>
              </w:rPr>
            </w:pPr>
            <w:r>
              <w:rPr>
                <w:sz w:val="25"/>
                <w:szCs w:val="25"/>
              </w:rPr>
              <w:t>(2)意向承租方出于限制竞争的目的而与</w:t>
            </w:r>
            <w:r>
              <w:rPr>
                <w:sz w:val="25"/>
                <w:szCs w:val="25"/>
                <w:spacing w:val="8"/>
              </w:rPr>
              <w:t xml:space="preserve">  </w:t>
            </w:r>
            <w:r>
              <w:rPr>
                <w:sz w:val="25"/>
                <w:szCs w:val="25"/>
                <w:spacing w:val="-5"/>
              </w:rPr>
              <w:t>其他意向承租方协商、合谋或以其他方式而</w:t>
            </w:r>
            <w:r>
              <w:rPr>
                <w:sz w:val="25"/>
                <w:szCs w:val="25"/>
                <w:spacing w:val="9"/>
              </w:rPr>
              <w:t xml:space="preserve"> </w:t>
            </w:r>
            <w:r>
              <w:rPr>
                <w:sz w:val="25"/>
                <w:szCs w:val="25"/>
                <w:spacing w:val="32"/>
              </w:rPr>
              <w:t>形成报价的；</w:t>
            </w:r>
          </w:p>
          <w:p>
            <w:pPr>
              <w:pStyle w:val="TableText"/>
              <w:ind w:left="15" w:firstLine="129"/>
              <w:spacing w:before="35" w:line="238" w:lineRule="auto"/>
              <w:rPr>
                <w:sz w:val="25"/>
                <w:szCs w:val="25"/>
              </w:rPr>
            </w:pPr>
            <w:r>
              <w:rPr>
                <w:sz w:val="25"/>
                <w:szCs w:val="25"/>
                <w:spacing w:val="1"/>
              </w:rPr>
              <w:t>(3)意向承租方对出租方或任何相关人员</w:t>
            </w:r>
            <w:r>
              <w:rPr>
                <w:sz w:val="25"/>
                <w:szCs w:val="25"/>
                <w:spacing w:val="7"/>
              </w:rPr>
              <w:t xml:space="preserve">  </w:t>
            </w:r>
            <w:r>
              <w:rPr>
                <w:sz w:val="25"/>
                <w:szCs w:val="25"/>
                <w:spacing w:val="-5"/>
              </w:rPr>
              <w:t>有施加影响或行贿，或采用不正当竞争手段</w:t>
            </w:r>
            <w:r>
              <w:rPr>
                <w:sz w:val="25"/>
                <w:szCs w:val="25"/>
                <w:spacing w:val="9"/>
              </w:rPr>
              <w:t xml:space="preserve"> </w:t>
            </w:r>
            <w:r>
              <w:rPr>
                <w:sz w:val="25"/>
                <w:szCs w:val="25"/>
                <w:spacing w:val="12"/>
              </w:rPr>
              <w:t>等行为，影响本项目公正性的；</w:t>
            </w:r>
          </w:p>
          <w:p>
            <w:pPr>
              <w:pStyle w:val="TableText"/>
              <w:ind w:left="15" w:firstLine="129"/>
              <w:spacing w:before="92" w:line="238" w:lineRule="auto"/>
              <w:rPr>
                <w:sz w:val="25"/>
                <w:szCs w:val="25"/>
              </w:rPr>
            </w:pPr>
            <w:r>
              <w:rPr>
                <w:sz w:val="25"/>
                <w:szCs w:val="25"/>
              </w:rPr>
              <w:t>(4)不论是在竞价前还是竞价后，发现意</w:t>
            </w:r>
            <w:r>
              <w:rPr>
                <w:sz w:val="25"/>
                <w:szCs w:val="25"/>
                <w:spacing w:val="6"/>
              </w:rPr>
              <w:t xml:space="preserve">  </w:t>
            </w:r>
            <w:r>
              <w:rPr>
                <w:sz w:val="25"/>
                <w:szCs w:val="25"/>
                <w:spacing w:val="3"/>
              </w:rPr>
              <w:t>向承租方(承租方)递交的报名材料中有弄</w:t>
            </w:r>
            <w:r>
              <w:rPr>
                <w:sz w:val="25"/>
                <w:szCs w:val="25"/>
                <w:spacing w:val="16"/>
              </w:rPr>
              <w:t xml:space="preserve"> </w:t>
            </w:r>
            <w:r>
              <w:rPr>
                <w:sz w:val="25"/>
                <w:szCs w:val="25"/>
                <w:spacing w:val="-5"/>
              </w:rPr>
              <w:t>虚作假或故意隐瞒或存在与本次交易活动要</w:t>
            </w:r>
            <w:r>
              <w:rPr>
                <w:sz w:val="25"/>
                <w:szCs w:val="25"/>
                <w:spacing w:val="9"/>
              </w:rPr>
              <w:t xml:space="preserve"> </w:t>
            </w:r>
            <w:r>
              <w:rPr>
                <w:sz w:val="25"/>
                <w:szCs w:val="25"/>
                <w:spacing w:val="14"/>
              </w:rPr>
              <w:t>求有严重不符的重大事实的；</w:t>
            </w:r>
          </w:p>
          <w:p>
            <w:pPr>
              <w:pStyle w:val="TableText"/>
              <w:ind w:left="86" w:right="144" w:firstLine="59"/>
              <w:spacing w:before="54" w:line="235" w:lineRule="auto"/>
              <w:rPr>
                <w:sz w:val="25"/>
                <w:szCs w:val="25"/>
              </w:rPr>
            </w:pPr>
            <w:r>
              <w:rPr>
                <w:sz w:val="25"/>
                <w:szCs w:val="25"/>
              </w:rPr>
              <w:t>(5)意向承租方违反其在申请受让、公开</w:t>
            </w:r>
            <w:r>
              <w:rPr>
                <w:sz w:val="25"/>
                <w:szCs w:val="25"/>
                <w:spacing w:val="14"/>
              </w:rPr>
              <w:t xml:space="preserve"> </w:t>
            </w:r>
            <w:r>
              <w:rPr>
                <w:sz w:val="25"/>
                <w:szCs w:val="25"/>
                <w:spacing w:val="8"/>
              </w:rPr>
              <w:t>交易活动过程中做出的承诺的；</w:t>
            </w:r>
          </w:p>
          <w:p>
            <w:pPr>
              <w:pStyle w:val="TableText"/>
              <w:ind w:left="19" w:firstLine="199"/>
              <w:spacing w:before="59" w:line="241" w:lineRule="auto"/>
              <w:rPr>
                <w:sz w:val="25"/>
                <w:szCs w:val="25"/>
              </w:rPr>
            </w:pPr>
            <w:r>
              <w:rPr>
                <w:sz w:val="25"/>
                <w:szCs w:val="25"/>
                <w:b/>
                <w:bCs/>
                <w:spacing w:val="-2"/>
              </w:rPr>
              <w:t>(6)已完成报名手续(即在交易中心平台</w:t>
            </w:r>
            <w:r>
              <w:rPr>
                <w:sz w:val="25"/>
                <w:szCs w:val="25"/>
                <w:spacing w:val="2"/>
              </w:rPr>
              <w:t xml:space="preserve">  </w:t>
            </w:r>
            <w:r>
              <w:rPr>
                <w:sz w:val="25"/>
                <w:szCs w:val="25"/>
                <w:b/>
                <w:bCs/>
                <w:spacing w:val="-8"/>
              </w:rPr>
              <w:t>上点击“提交报名”且已足额交纳交易保证</w:t>
            </w:r>
            <w:r>
              <w:rPr>
                <w:sz w:val="25"/>
                <w:szCs w:val="25"/>
                <w:spacing w:val="12"/>
              </w:rPr>
              <w:t xml:space="preserve"> </w:t>
            </w:r>
            <w:r>
              <w:rPr>
                <w:sz w:val="25"/>
                <w:szCs w:val="25"/>
                <w:b/>
                <w:bCs/>
                <w:spacing w:val="-2"/>
              </w:rPr>
              <w:t>金)且通过资格审核的意向投资人要求撤回</w:t>
            </w:r>
            <w:r>
              <w:rPr>
                <w:sz w:val="25"/>
                <w:szCs w:val="25"/>
                <w:spacing w:val="10"/>
              </w:rPr>
              <w:t xml:space="preserve"> </w:t>
            </w:r>
            <w:r>
              <w:rPr>
                <w:sz w:val="25"/>
                <w:szCs w:val="25"/>
                <w:b/>
                <w:bCs/>
                <w:spacing w:val="7"/>
              </w:rPr>
              <w:t>其已交的报名材料或交易保证金的；</w:t>
            </w:r>
          </w:p>
          <w:p>
            <w:pPr>
              <w:pStyle w:val="TableText"/>
              <w:ind w:left="106" w:right="144" w:firstLine="39"/>
              <w:spacing w:before="59" w:line="237" w:lineRule="auto"/>
              <w:rPr>
                <w:sz w:val="25"/>
                <w:szCs w:val="25"/>
              </w:rPr>
            </w:pPr>
            <w:r>
              <w:rPr>
                <w:sz w:val="25"/>
                <w:szCs w:val="25"/>
              </w:rPr>
              <w:t>(7)承租方未按要求与出租方签署租赁合</w:t>
            </w:r>
            <w:r>
              <w:rPr>
                <w:sz w:val="25"/>
                <w:szCs w:val="25"/>
                <w:spacing w:val="14"/>
              </w:rPr>
              <w:t xml:space="preserve"> </w:t>
            </w:r>
            <w:r>
              <w:rPr>
                <w:sz w:val="25"/>
                <w:szCs w:val="25"/>
                <w:spacing w:val="-22"/>
              </w:rPr>
              <w:t>同</w:t>
            </w:r>
            <w:r>
              <w:rPr>
                <w:sz w:val="25"/>
                <w:szCs w:val="25"/>
                <w:spacing w:val="14"/>
              </w:rPr>
              <w:t xml:space="preserve"> </w:t>
            </w:r>
            <w:r>
              <w:rPr>
                <w:sz w:val="25"/>
                <w:szCs w:val="25"/>
                <w:spacing w:val="-22"/>
              </w:rPr>
              <w:t>的</w:t>
            </w:r>
            <w:r>
              <w:rPr>
                <w:sz w:val="25"/>
                <w:szCs w:val="25"/>
                <w:spacing w:val="-16"/>
              </w:rPr>
              <w:t xml:space="preserve"> </w:t>
            </w:r>
            <w:r>
              <w:rPr>
                <w:sz w:val="25"/>
                <w:szCs w:val="25"/>
                <w:spacing w:val="-22"/>
              </w:rPr>
              <w:t>；</w:t>
            </w:r>
          </w:p>
          <w:p>
            <w:pPr>
              <w:pStyle w:val="TableText"/>
              <w:ind w:left="76" w:right="146" w:firstLine="69"/>
              <w:spacing w:before="67" w:line="237" w:lineRule="auto"/>
              <w:rPr>
                <w:sz w:val="25"/>
                <w:szCs w:val="25"/>
              </w:rPr>
            </w:pPr>
            <w:r>
              <w:rPr>
                <w:sz w:val="25"/>
                <w:szCs w:val="25"/>
              </w:rPr>
              <w:t>(8)承租方未按要求支付租赁合同履约保</w:t>
            </w:r>
            <w:r>
              <w:rPr>
                <w:sz w:val="25"/>
                <w:szCs w:val="25"/>
                <w:spacing w:val="12"/>
              </w:rPr>
              <w:t xml:space="preserve"> </w:t>
            </w:r>
            <w:r>
              <w:rPr>
                <w:sz w:val="25"/>
                <w:szCs w:val="25"/>
                <w:spacing w:val="15"/>
              </w:rPr>
              <w:t>证金(押金)的；</w:t>
            </w:r>
          </w:p>
          <w:p>
            <w:pPr>
              <w:pStyle w:val="TableText"/>
              <w:ind w:left="76" w:right="143" w:firstLine="69"/>
              <w:spacing w:before="8" w:line="234" w:lineRule="auto"/>
              <w:rPr>
                <w:sz w:val="25"/>
                <w:szCs w:val="25"/>
              </w:rPr>
            </w:pPr>
            <w:r>
              <w:rPr>
                <w:sz w:val="25"/>
                <w:szCs w:val="25"/>
              </w:rPr>
              <w:t>(9)本项目公告等交易规则规定的其他情</w:t>
            </w:r>
            <w:r>
              <w:rPr>
                <w:sz w:val="25"/>
                <w:szCs w:val="25"/>
                <w:spacing w:val="15"/>
              </w:rPr>
              <w:t xml:space="preserve"> </w:t>
            </w:r>
            <w:r>
              <w:rPr>
                <w:sz w:val="25"/>
                <w:szCs w:val="25"/>
                <w:spacing w:val="-2"/>
              </w:rPr>
              <w:t>形。</w:t>
            </w:r>
          </w:p>
          <w:p>
            <w:pPr>
              <w:pStyle w:val="TableText"/>
              <w:ind w:left="55" w:right="38" w:hanging="30"/>
              <w:spacing w:before="88" w:line="252" w:lineRule="auto"/>
              <w:rPr>
                <w:sz w:val="25"/>
                <w:szCs w:val="25"/>
              </w:rPr>
            </w:pPr>
            <w:r>
              <w:rPr>
                <w:sz w:val="25"/>
                <w:szCs w:val="25"/>
                <w:spacing w:val="-1"/>
              </w:rPr>
              <w:t>4、交易保证金的处置，不影响守约方有权</w:t>
            </w:r>
            <w:r>
              <w:rPr>
                <w:sz w:val="25"/>
                <w:szCs w:val="25"/>
                <w:spacing w:val="9"/>
              </w:rPr>
              <w:t xml:space="preserve"> </w:t>
            </w:r>
            <w:r>
              <w:rPr>
                <w:sz w:val="25"/>
                <w:szCs w:val="25"/>
                <w:spacing w:val="-1"/>
              </w:rPr>
              <w:t>依据相关法律法规追究违约方责任。</w:t>
            </w:r>
          </w:p>
        </w:tc>
      </w:tr>
      <w:tr>
        <w:trPr>
          <w:trHeight w:val="120" w:hRule="atLeast"/>
        </w:trPr>
        <w:tc>
          <w:tcPr>
            <w:tcW w:w="2472" w:type="dxa"/>
            <w:vAlign w:val="top"/>
            <w:vMerge w:val="restart"/>
            <w:tcBorders>
              <w:bottom w:val="nil"/>
            </w:tcBorders>
          </w:tcPr>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pStyle w:val="TableText"/>
              <w:ind w:left="128"/>
              <w:spacing w:before="81" w:line="219" w:lineRule="auto"/>
              <w:rPr>
                <w:sz w:val="25"/>
                <w:szCs w:val="25"/>
              </w:rPr>
            </w:pPr>
            <w:r>
              <w:rPr>
                <w:sz w:val="25"/>
                <w:szCs w:val="25"/>
                <w:b/>
                <w:bCs/>
                <w:spacing w:val="-5"/>
              </w:rPr>
              <w:t>披露附件</w:t>
            </w:r>
          </w:p>
        </w:tc>
        <w:tc>
          <w:tcPr>
            <w:tcW w:w="2347" w:type="dxa"/>
            <w:vAlign w:val="top"/>
            <w:tcBorders>
              <w:right w:val="nil"/>
            </w:tcBorders>
          </w:tcPr>
          <w:p>
            <w:pPr>
              <w:spacing w:line="110" w:lineRule="exact"/>
              <w:rPr>
                <w:rFonts w:ascii="Arial"/>
                <w:sz w:val="9"/>
              </w:rPr>
            </w:pPr>
            <w:r/>
          </w:p>
        </w:tc>
        <w:tc>
          <w:tcPr>
            <w:tcW w:w="3267" w:type="dxa"/>
            <w:vAlign w:val="top"/>
            <w:tcBorders>
              <w:left w:val="nil"/>
              <w:right w:val="nil"/>
            </w:tcBorders>
          </w:tcPr>
          <w:p>
            <w:pPr>
              <w:spacing w:line="110" w:lineRule="exact"/>
              <w:rPr>
                <w:rFonts w:ascii="Arial"/>
                <w:sz w:val="9"/>
              </w:rPr>
            </w:pPr>
            <w:r/>
          </w:p>
        </w:tc>
        <w:tc>
          <w:tcPr>
            <w:tcW w:w="1424" w:type="dxa"/>
            <w:vAlign w:val="top"/>
            <w:tcBorders>
              <w:left w:val="nil"/>
              <w:right w:val="single" w:color="000000" w:sz="2" w:space="0"/>
            </w:tcBorders>
          </w:tcPr>
          <w:p>
            <w:pPr>
              <w:spacing w:line="110" w:lineRule="exact"/>
              <w:rPr>
                <w:rFonts w:ascii="Arial"/>
                <w:sz w:val="9"/>
              </w:rPr>
            </w:pPr>
            <w:r/>
          </w:p>
        </w:tc>
      </w:tr>
      <w:tr>
        <w:trPr>
          <w:trHeight w:val="579" w:hRule="atLeast"/>
        </w:trPr>
        <w:tc>
          <w:tcPr>
            <w:tcW w:w="2472" w:type="dxa"/>
            <w:vAlign w:val="top"/>
            <w:vMerge w:val="continue"/>
            <w:tcBorders>
              <w:top w:val="nil"/>
              <w:bottom w:val="nil"/>
            </w:tcBorders>
          </w:tcPr>
          <w:p>
            <w:pPr>
              <w:rPr>
                <w:rFonts w:ascii="Arial"/>
                <w:sz w:val="21"/>
              </w:rPr>
            </w:pPr>
            <w:r/>
          </w:p>
        </w:tc>
        <w:tc>
          <w:tcPr>
            <w:tcW w:w="5614" w:type="dxa"/>
            <w:vAlign w:val="top"/>
            <w:gridSpan w:val="2"/>
          </w:tcPr>
          <w:p>
            <w:pPr>
              <w:pStyle w:val="TableText"/>
              <w:ind w:left="126"/>
              <w:spacing w:before="178" w:line="221" w:lineRule="auto"/>
              <w:rPr>
                <w:sz w:val="25"/>
                <w:szCs w:val="25"/>
              </w:rPr>
            </w:pPr>
            <w:r>
              <w:rPr>
                <w:sz w:val="25"/>
                <w:szCs w:val="25"/>
                <w:b/>
                <w:bCs/>
                <w:spacing w:val="-6"/>
              </w:rPr>
              <w:t>名称</w:t>
            </w:r>
          </w:p>
        </w:tc>
        <w:tc>
          <w:tcPr>
            <w:tcW w:w="1424" w:type="dxa"/>
            <w:vAlign w:val="top"/>
          </w:tcPr>
          <w:p>
            <w:pPr>
              <w:pStyle w:val="TableText"/>
              <w:ind w:left="132"/>
              <w:spacing w:before="174" w:line="219" w:lineRule="auto"/>
              <w:rPr>
                <w:sz w:val="25"/>
                <w:szCs w:val="25"/>
              </w:rPr>
            </w:pPr>
            <w:r>
              <w:rPr>
                <w:sz w:val="25"/>
                <w:szCs w:val="25"/>
                <w:b/>
                <w:bCs/>
                <w:spacing w:val="-5"/>
              </w:rPr>
              <w:t>操作</w:t>
            </w:r>
          </w:p>
        </w:tc>
      </w:tr>
      <w:tr>
        <w:trPr>
          <w:trHeight w:val="1619" w:hRule="atLeast"/>
        </w:trPr>
        <w:tc>
          <w:tcPr>
            <w:tcW w:w="2472" w:type="dxa"/>
            <w:vAlign w:val="top"/>
            <w:vMerge w:val="continue"/>
            <w:tcBorders>
              <w:top w:val="nil"/>
              <w:bottom w:val="nil"/>
            </w:tcBorders>
          </w:tcPr>
          <w:p>
            <w:pPr>
              <w:rPr>
                <w:rFonts w:ascii="Arial"/>
                <w:sz w:val="21"/>
              </w:rPr>
            </w:pPr>
            <w:r/>
          </w:p>
        </w:tc>
        <w:tc>
          <w:tcPr>
            <w:tcW w:w="5614" w:type="dxa"/>
            <w:vAlign w:val="top"/>
            <w:gridSpan w:val="2"/>
          </w:tcPr>
          <w:p>
            <w:pPr>
              <w:spacing w:line="307" w:lineRule="auto"/>
              <w:rPr>
                <w:rFonts w:ascii="Arial"/>
                <w:sz w:val="21"/>
              </w:rPr>
            </w:pPr>
            <w:r/>
          </w:p>
          <w:p>
            <w:pPr>
              <w:spacing w:line="307" w:lineRule="auto"/>
              <w:rPr>
                <w:rFonts w:ascii="Arial"/>
                <w:sz w:val="21"/>
              </w:rPr>
            </w:pPr>
            <w:r/>
          </w:p>
          <w:p>
            <w:pPr>
              <w:pStyle w:val="TableText"/>
              <w:ind w:left="122"/>
              <w:spacing w:before="82" w:line="220" w:lineRule="auto"/>
              <w:rPr>
                <w:sz w:val="25"/>
                <w:szCs w:val="25"/>
              </w:rPr>
            </w:pPr>
            <w:r>
              <w:rPr>
                <w:sz w:val="25"/>
                <w:szCs w:val="25"/>
              </w:rPr>
              <w:t>房屋租赁合同及房屋租赁安全补充协议</w:t>
            </w:r>
          </w:p>
        </w:tc>
        <w:tc>
          <w:tcPr>
            <w:tcW w:w="1424" w:type="dxa"/>
            <w:vAlign w:val="top"/>
          </w:tcPr>
          <w:p>
            <w:pPr>
              <w:pStyle w:val="TableText"/>
              <w:ind w:left="128" w:right="186" w:firstLine="80"/>
              <w:spacing w:before="201" w:line="254" w:lineRule="auto"/>
              <w:jc w:val="both"/>
              <w:rPr>
                <w:sz w:val="25"/>
                <w:szCs w:val="25"/>
              </w:rPr>
            </w:pPr>
            <w:r>
              <w:rPr>
                <w:sz w:val="25"/>
                <w:szCs w:val="25"/>
                <w:spacing w:val="4"/>
              </w:rPr>
              <w:t>请登录后</w:t>
            </w:r>
            <w:r>
              <w:rPr>
                <w:sz w:val="25"/>
                <w:szCs w:val="25"/>
                <w:spacing w:val="1"/>
              </w:rPr>
              <w:t xml:space="preserve"> </w:t>
            </w:r>
            <w:r>
              <w:rPr>
                <w:sz w:val="25"/>
                <w:szCs w:val="25"/>
                <w:spacing w:val="22"/>
              </w:rPr>
              <w:t>下载或预</w:t>
            </w:r>
            <w:r>
              <w:rPr>
                <w:sz w:val="25"/>
                <w:szCs w:val="25"/>
                <w:spacing w:val="1"/>
              </w:rPr>
              <w:t xml:space="preserve"> </w:t>
            </w:r>
            <w:r>
              <w:rPr>
                <w:sz w:val="25"/>
                <w:szCs w:val="25"/>
                <w:spacing w:val="22"/>
              </w:rPr>
              <w:t>览相关附</w:t>
            </w:r>
            <w:r>
              <w:rPr>
                <w:sz w:val="25"/>
                <w:szCs w:val="25"/>
                <w:spacing w:val="1"/>
              </w:rPr>
              <w:t xml:space="preserve"> </w:t>
            </w:r>
            <w:r>
              <w:rPr>
                <w:sz w:val="25"/>
                <w:szCs w:val="25"/>
              </w:rPr>
              <w:t>件</w:t>
            </w:r>
          </w:p>
        </w:tc>
      </w:tr>
      <w:tr>
        <w:trPr>
          <w:trHeight w:val="434" w:hRule="atLeast"/>
        </w:trPr>
        <w:tc>
          <w:tcPr>
            <w:tcW w:w="2472" w:type="dxa"/>
            <w:vAlign w:val="top"/>
            <w:vMerge w:val="continue"/>
            <w:tcBorders>
              <w:top w:val="nil"/>
            </w:tcBorders>
          </w:tcPr>
          <w:p>
            <w:pPr>
              <w:rPr>
                <w:rFonts w:ascii="Arial"/>
                <w:sz w:val="21"/>
              </w:rPr>
            </w:pPr>
            <w:r/>
          </w:p>
        </w:tc>
        <w:tc>
          <w:tcPr>
            <w:tcW w:w="7038" w:type="dxa"/>
            <w:vAlign w:val="top"/>
            <w:gridSpan w:val="3"/>
          </w:tcPr>
          <w:p>
            <w:pPr>
              <w:rPr>
                <w:rFonts w:ascii="Arial"/>
                <w:sz w:val="21"/>
              </w:rPr>
            </w:pPr>
            <w:r/>
          </w:p>
        </w:tc>
      </w:tr>
    </w:tbl>
    <w:p>
      <w:pPr>
        <w:pStyle w:val="BodyText"/>
        <w:rPr/>
      </w:pPr>
      <w:r/>
    </w:p>
    <w:p>
      <w:pPr>
        <w:sectPr>
          <w:headerReference w:type="default" r:id="rId12"/>
          <w:footerReference w:type="default" r:id="rId13"/>
          <w:pgSz w:w="11910" w:h="16840"/>
          <w:pgMar w:top="500" w:right="513" w:bottom="467" w:left="449" w:header="238" w:footer="262" w:gutter="0"/>
        </w:sectPr>
        <w:rPr/>
      </w:pPr>
    </w:p>
    <w:p>
      <w:pPr>
        <w:spacing w:before="76"/>
        <w:rPr/>
      </w:pPr>
      <w:r/>
    </w:p>
    <w:p>
      <w:pPr>
        <w:spacing w:before="75"/>
        <w:rPr/>
      </w:pPr>
      <w:r/>
    </w:p>
    <w:tbl>
      <w:tblPr>
        <w:tblStyle w:val="TableNormal"/>
        <w:tblW w:w="9639" w:type="dxa"/>
        <w:tblInd w:w="69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402"/>
        <w:gridCol w:w="7237"/>
      </w:tblGrid>
      <w:tr>
        <w:trPr>
          <w:trHeight w:val="632" w:hRule="atLeast"/>
        </w:trPr>
        <w:tc>
          <w:tcPr>
            <w:tcW w:w="9639" w:type="dxa"/>
            <w:vAlign w:val="top"/>
            <w:gridSpan w:val="2"/>
          </w:tcPr>
          <w:p>
            <w:pPr>
              <w:pStyle w:val="TableText"/>
              <w:ind w:left="118"/>
              <w:spacing w:before="191" w:line="219" w:lineRule="auto"/>
              <w:rPr>
                <w:sz w:val="25"/>
                <w:szCs w:val="25"/>
              </w:rPr>
            </w:pPr>
            <w:r>
              <w:rPr>
                <w:sz w:val="25"/>
                <w:szCs w:val="25"/>
                <w:b/>
                <w:bCs/>
                <w:spacing w:val="-1"/>
              </w:rPr>
              <w:t>四、挂牌信息</w:t>
            </w:r>
          </w:p>
        </w:tc>
      </w:tr>
      <w:tr>
        <w:trPr>
          <w:trHeight w:val="588" w:hRule="atLeast"/>
        </w:trPr>
        <w:tc>
          <w:tcPr>
            <w:tcW w:w="2402" w:type="dxa"/>
            <w:vAlign w:val="top"/>
          </w:tcPr>
          <w:p>
            <w:pPr>
              <w:pStyle w:val="TableText"/>
              <w:ind w:left="108"/>
              <w:spacing w:before="167" w:line="218" w:lineRule="auto"/>
              <w:rPr>
                <w:sz w:val="25"/>
                <w:szCs w:val="25"/>
              </w:rPr>
            </w:pPr>
            <w:r>
              <w:rPr>
                <w:sz w:val="25"/>
                <w:szCs w:val="25"/>
                <w:b/>
                <w:bCs/>
                <w:spacing w:val="-1"/>
              </w:rPr>
              <w:t>挂牌公告期</w:t>
            </w:r>
          </w:p>
        </w:tc>
        <w:tc>
          <w:tcPr>
            <w:tcW w:w="7237" w:type="dxa"/>
            <w:vAlign w:val="top"/>
          </w:tcPr>
          <w:p>
            <w:pPr>
              <w:pStyle w:val="TableText"/>
              <w:ind w:left="112"/>
              <w:spacing w:before="171" w:line="218" w:lineRule="auto"/>
              <w:rPr>
                <w:sz w:val="25"/>
                <w:szCs w:val="25"/>
              </w:rPr>
            </w:pPr>
            <w:r>
              <w:rPr>
                <w:sz w:val="25"/>
                <w:szCs w:val="25"/>
                <w:spacing w:val="3"/>
              </w:rPr>
              <w:t>自公告之日起15个工作日</w:t>
            </w:r>
          </w:p>
        </w:tc>
      </w:tr>
      <w:tr>
        <w:trPr>
          <w:trHeight w:val="578" w:hRule="atLeast"/>
        </w:trPr>
        <w:tc>
          <w:tcPr>
            <w:tcW w:w="2402" w:type="dxa"/>
            <w:vAlign w:val="top"/>
          </w:tcPr>
          <w:p>
            <w:pPr>
              <w:pStyle w:val="TableText"/>
              <w:ind w:left="108"/>
              <w:spacing w:before="171" w:line="219" w:lineRule="auto"/>
              <w:rPr>
                <w:sz w:val="25"/>
                <w:szCs w:val="25"/>
              </w:rPr>
            </w:pPr>
            <w:r>
              <w:rPr>
                <w:sz w:val="25"/>
                <w:szCs w:val="25"/>
                <w:b/>
                <w:bCs/>
                <w:spacing w:val="-4"/>
              </w:rPr>
              <w:t>无合格意向承租方</w:t>
            </w:r>
          </w:p>
        </w:tc>
        <w:tc>
          <w:tcPr>
            <w:tcW w:w="7237" w:type="dxa"/>
            <w:vAlign w:val="top"/>
          </w:tcPr>
          <w:p>
            <w:pPr>
              <w:pStyle w:val="TableText"/>
              <w:ind w:left="112"/>
              <w:spacing w:before="173" w:line="219" w:lineRule="auto"/>
              <w:rPr>
                <w:sz w:val="25"/>
                <w:szCs w:val="25"/>
              </w:rPr>
            </w:pPr>
            <w:r>
              <w:rPr>
                <w:sz w:val="25"/>
                <w:szCs w:val="25"/>
                <w:spacing w:val="2"/>
              </w:rPr>
              <w:t>信息发布终结</w:t>
            </w:r>
          </w:p>
        </w:tc>
      </w:tr>
      <w:tr>
        <w:trPr>
          <w:trHeight w:val="592" w:hRule="atLeast"/>
        </w:trPr>
        <w:tc>
          <w:tcPr>
            <w:tcW w:w="2402" w:type="dxa"/>
            <w:vAlign w:val="top"/>
          </w:tcPr>
          <w:p>
            <w:pPr>
              <w:pStyle w:val="TableText"/>
              <w:ind w:left="108"/>
              <w:spacing w:before="173" w:line="219" w:lineRule="auto"/>
              <w:rPr>
                <w:sz w:val="25"/>
                <w:szCs w:val="25"/>
              </w:rPr>
            </w:pPr>
            <w:r>
              <w:rPr>
                <w:sz w:val="25"/>
                <w:szCs w:val="25"/>
                <w:b/>
                <w:bCs/>
                <w:spacing w:val="-4"/>
              </w:rPr>
              <w:t>有合格意向承租方</w:t>
            </w:r>
          </w:p>
        </w:tc>
        <w:tc>
          <w:tcPr>
            <w:tcW w:w="7237" w:type="dxa"/>
            <w:vAlign w:val="top"/>
          </w:tcPr>
          <w:p>
            <w:pPr>
              <w:pStyle w:val="TableText"/>
              <w:ind w:left="112"/>
              <w:spacing w:before="175" w:line="218" w:lineRule="auto"/>
              <w:rPr>
                <w:sz w:val="25"/>
                <w:szCs w:val="25"/>
              </w:rPr>
            </w:pPr>
            <w:r>
              <w:rPr>
                <w:sz w:val="25"/>
                <w:szCs w:val="25"/>
                <w:spacing w:val="2"/>
              </w:rPr>
              <w:t>动态报价</w:t>
            </w:r>
          </w:p>
        </w:tc>
      </w:tr>
    </w:tbl>
    <w:p>
      <w:pPr>
        <w:spacing w:before="68"/>
        <w:rPr/>
      </w:pPr>
      <w:r/>
    </w:p>
    <w:tbl>
      <w:tblPr>
        <w:tblStyle w:val="TableNormal"/>
        <w:tblW w:w="9639" w:type="dxa"/>
        <w:tblInd w:w="69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152"/>
        <w:gridCol w:w="2148"/>
        <w:gridCol w:w="1808"/>
        <w:gridCol w:w="2148"/>
        <w:gridCol w:w="1383"/>
      </w:tblGrid>
      <w:tr>
        <w:trPr>
          <w:trHeight w:val="633" w:hRule="atLeast"/>
        </w:trPr>
        <w:tc>
          <w:tcPr>
            <w:tcW w:w="9639" w:type="dxa"/>
            <w:vAlign w:val="top"/>
            <w:gridSpan w:val="5"/>
          </w:tcPr>
          <w:p>
            <w:pPr>
              <w:pStyle w:val="TableText"/>
              <w:ind w:left="118"/>
              <w:spacing w:before="193" w:line="221" w:lineRule="auto"/>
              <w:rPr>
                <w:sz w:val="25"/>
                <w:szCs w:val="25"/>
              </w:rPr>
            </w:pPr>
            <w:r>
              <w:rPr>
                <w:sz w:val="25"/>
                <w:szCs w:val="25"/>
                <w:b/>
                <w:bCs/>
                <w:spacing w:val="-5"/>
              </w:rPr>
              <w:t>五、联系方式</w:t>
            </w:r>
          </w:p>
        </w:tc>
      </w:tr>
      <w:tr>
        <w:trPr>
          <w:trHeight w:val="938" w:hRule="atLeast"/>
        </w:trPr>
        <w:tc>
          <w:tcPr>
            <w:tcW w:w="2152" w:type="dxa"/>
            <w:vAlign w:val="top"/>
            <w:vMerge w:val="restart"/>
            <w:tcBorders>
              <w:bottom w:val="nil"/>
            </w:tcBorders>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pStyle w:val="TableText"/>
              <w:ind w:left="108"/>
              <w:spacing w:before="81" w:line="219" w:lineRule="auto"/>
              <w:rPr>
                <w:sz w:val="25"/>
                <w:szCs w:val="25"/>
              </w:rPr>
            </w:pPr>
            <w:r>
              <w:rPr>
                <w:sz w:val="25"/>
                <w:szCs w:val="25"/>
                <w:b/>
                <w:bCs/>
                <w:spacing w:val="-1"/>
              </w:rPr>
              <w:t>交易机构</w:t>
            </w:r>
          </w:p>
        </w:tc>
        <w:tc>
          <w:tcPr>
            <w:tcW w:w="2148" w:type="dxa"/>
            <w:vAlign w:val="top"/>
          </w:tcPr>
          <w:p>
            <w:pPr>
              <w:spacing w:line="266" w:lineRule="auto"/>
              <w:rPr>
                <w:rFonts w:ascii="Arial"/>
                <w:sz w:val="21"/>
              </w:rPr>
            </w:pPr>
            <w:r/>
          </w:p>
          <w:p>
            <w:pPr>
              <w:pStyle w:val="TableText"/>
              <w:ind w:left="116"/>
              <w:spacing w:before="81" w:line="220" w:lineRule="auto"/>
              <w:rPr>
                <w:sz w:val="25"/>
                <w:szCs w:val="25"/>
              </w:rPr>
            </w:pPr>
            <w:r>
              <w:rPr>
                <w:sz w:val="25"/>
                <w:szCs w:val="25"/>
                <w:b/>
                <w:bCs/>
                <w:spacing w:val="-5"/>
              </w:rPr>
              <w:t>项目咨询联系人</w:t>
            </w:r>
          </w:p>
        </w:tc>
        <w:tc>
          <w:tcPr>
            <w:tcW w:w="1808" w:type="dxa"/>
            <w:vAlign w:val="top"/>
          </w:tcPr>
          <w:p>
            <w:pPr>
              <w:spacing w:line="267" w:lineRule="auto"/>
              <w:rPr>
                <w:rFonts w:ascii="Arial"/>
                <w:sz w:val="21"/>
              </w:rPr>
            </w:pPr>
            <w:r/>
          </w:p>
          <w:p>
            <w:pPr>
              <w:pStyle w:val="TableText"/>
              <w:ind w:left="114"/>
              <w:spacing w:before="82" w:line="219" w:lineRule="auto"/>
              <w:rPr>
                <w:sz w:val="25"/>
                <w:szCs w:val="25"/>
              </w:rPr>
            </w:pPr>
            <w:r>
              <w:rPr>
                <w:sz w:val="25"/>
                <w:szCs w:val="25"/>
                <w:spacing w:val="4"/>
              </w:rPr>
              <w:t>陈女士</w:t>
            </w:r>
          </w:p>
        </w:tc>
        <w:tc>
          <w:tcPr>
            <w:tcW w:w="2148" w:type="dxa"/>
            <w:vAlign w:val="top"/>
          </w:tcPr>
          <w:p>
            <w:pPr>
              <w:pStyle w:val="TableText"/>
              <w:ind w:left="100" w:right="279"/>
              <w:spacing w:before="140" w:line="285" w:lineRule="auto"/>
              <w:rPr>
                <w:sz w:val="25"/>
                <w:szCs w:val="25"/>
              </w:rPr>
            </w:pPr>
            <w:r>
              <w:rPr>
                <w:sz w:val="25"/>
                <w:szCs w:val="25"/>
                <w:b/>
                <w:bCs/>
                <w:spacing w:val="-2"/>
              </w:rPr>
              <w:t>项目咨询联系电</w:t>
            </w:r>
            <w:r>
              <w:rPr>
                <w:sz w:val="25"/>
                <w:szCs w:val="25"/>
                <w:spacing w:val="2"/>
              </w:rPr>
              <w:t xml:space="preserve"> </w:t>
            </w:r>
            <w:r>
              <w:rPr>
                <w:sz w:val="25"/>
                <w:szCs w:val="25"/>
                <w:b/>
                <w:bCs/>
                <w:spacing w:val="-3"/>
              </w:rPr>
              <w:t>话</w:t>
            </w:r>
          </w:p>
        </w:tc>
        <w:tc>
          <w:tcPr>
            <w:tcW w:w="1383" w:type="dxa"/>
            <w:vAlign w:val="top"/>
          </w:tcPr>
          <w:p>
            <w:pPr>
              <w:pStyle w:val="TableText"/>
              <w:ind w:left="108"/>
              <w:spacing w:before="196"/>
              <w:rPr>
                <w:sz w:val="25"/>
                <w:szCs w:val="25"/>
              </w:rPr>
            </w:pPr>
            <w:r>
              <w:rPr>
                <w:sz w:val="25"/>
                <w:szCs w:val="25"/>
                <w:spacing w:val="-3"/>
              </w:rPr>
              <w:t>0591-</w:t>
            </w:r>
          </w:p>
          <w:p>
            <w:pPr>
              <w:pStyle w:val="TableText"/>
              <w:ind w:left="118"/>
              <w:spacing w:before="35"/>
              <w:rPr>
                <w:sz w:val="25"/>
                <w:szCs w:val="25"/>
              </w:rPr>
            </w:pPr>
            <w:r>
              <w:rPr>
                <w:sz w:val="25"/>
                <w:szCs w:val="25"/>
                <w:spacing w:val="-2"/>
              </w:rPr>
              <w:t>87276322</w:t>
            </w:r>
          </w:p>
        </w:tc>
      </w:tr>
      <w:tr>
        <w:trPr>
          <w:trHeight w:val="918" w:hRule="atLeast"/>
        </w:trPr>
        <w:tc>
          <w:tcPr>
            <w:tcW w:w="2152" w:type="dxa"/>
            <w:vAlign w:val="top"/>
            <w:vMerge w:val="continue"/>
            <w:tcBorders>
              <w:top w:val="nil"/>
              <w:bottom w:val="nil"/>
            </w:tcBorders>
          </w:tcPr>
          <w:p>
            <w:pPr>
              <w:rPr>
                <w:rFonts w:ascii="Arial"/>
                <w:sz w:val="21"/>
              </w:rPr>
            </w:pPr>
            <w:r/>
          </w:p>
        </w:tc>
        <w:tc>
          <w:tcPr>
            <w:tcW w:w="2148" w:type="dxa"/>
            <w:vAlign w:val="top"/>
          </w:tcPr>
          <w:p>
            <w:pPr>
              <w:spacing w:line="257" w:lineRule="auto"/>
              <w:rPr>
                <w:rFonts w:ascii="Arial"/>
                <w:sz w:val="21"/>
              </w:rPr>
            </w:pPr>
            <w:r/>
          </w:p>
          <w:p>
            <w:pPr>
              <w:pStyle w:val="TableText"/>
              <w:ind w:left="116"/>
              <w:spacing w:before="82" w:line="219" w:lineRule="auto"/>
              <w:rPr>
                <w:sz w:val="25"/>
                <w:szCs w:val="25"/>
              </w:rPr>
            </w:pPr>
            <w:r>
              <w:rPr>
                <w:sz w:val="25"/>
                <w:szCs w:val="25"/>
                <w:b/>
                <w:bCs/>
                <w:spacing w:val="-5"/>
              </w:rPr>
              <w:t>项目报名联系人</w:t>
            </w:r>
          </w:p>
        </w:tc>
        <w:tc>
          <w:tcPr>
            <w:tcW w:w="1808" w:type="dxa"/>
            <w:vAlign w:val="top"/>
          </w:tcPr>
          <w:p>
            <w:pPr>
              <w:spacing w:line="259" w:lineRule="auto"/>
              <w:rPr>
                <w:rFonts w:ascii="Arial"/>
                <w:sz w:val="21"/>
              </w:rPr>
            </w:pPr>
            <w:r/>
          </w:p>
          <w:p>
            <w:pPr>
              <w:pStyle w:val="TableText"/>
              <w:ind w:left="114"/>
              <w:spacing w:before="82" w:line="219" w:lineRule="auto"/>
              <w:rPr>
                <w:sz w:val="25"/>
                <w:szCs w:val="25"/>
              </w:rPr>
            </w:pPr>
            <w:r>
              <w:rPr>
                <w:sz w:val="25"/>
                <w:szCs w:val="25"/>
                <w:spacing w:val="4"/>
              </w:rPr>
              <w:t>陈女士</w:t>
            </w:r>
          </w:p>
        </w:tc>
        <w:tc>
          <w:tcPr>
            <w:tcW w:w="2148" w:type="dxa"/>
            <w:vAlign w:val="top"/>
          </w:tcPr>
          <w:p>
            <w:pPr>
              <w:pStyle w:val="TableText"/>
              <w:ind w:left="100" w:right="279"/>
              <w:spacing w:before="151" w:line="256" w:lineRule="auto"/>
              <w:rPr>
                <w:sz w:val="25"/>
                <w:szCs w:val="25"/>
              </w:rPr>
            </w:pPr>
            <w:r>
              <w:rPr>
                <w:sz w:val="25"/>
                <w:szCs w:val="25"/>
                <w:b/>
                <w:bCs/>
                <w:spacing w:val="-2"/>
              </w:rPr>
              <w:t>项目报名联系电</w:t>
            </w:r>
            <w:r>
              <w:rPr>
                <w:sz w:val="25"/>
                <w:szCs w:val="25"/>
                <w:spacing w:val="2"/>
              </w:rPr>
              <w:t xml:space="preserve"> </w:t>
            </w:r>
            <w:r>
              <w:rPr>
                <w:sz w:val="25"/>
                <w:szCs w:val="25"/>
                <w:b/>
                <w:bCs/>
                <w:spacing w:val="-3"/>
              </w:rPr>
              <w:t>话</w:t>
            </w:r>
          </w:p>
        </w:tc>
        <w:tc>
          <w:tcPr>
            <w:tcW w:w="1383" w:type="dxa"/>
            <w:vAlign w:val="top"/>
          </w:tcPr>
          <w:p>
            <w:pPr>
              <w:pStyle w:val="TableText"/>
              <w:ind w:left="108"/>
              <w:spacing w:before="198"/>
              <w:rPr>
                <w:sz w:val="25"/>
                <w:szCs w:val="25"/>
              </w:rPr>
            </w:pPr>
            <w:r>
              <w:rPr>
                <w:sz w:val="25"/>
                <w:szCs w:val="25"/>
                <w:spacing w:val="-3"/>
              </w:rPr>
              <w:t>0591-</w:t>
            </w:r>
          </w:p>
          <w:p>
            <w:pPr>
              <w:pStyle w:val="TableText"/>
              <w:ind w:left="128"/>
              <w:spacing w:before="15"/>
              <w:rPr>
                <w:sz w:val="25"/>
                <w:szCs w:val="25"/>
              </w:rPr>
            </w:pPr>
            <w:r>
              <w:rPr>
                <w:sz w:val="25"/>
                <w:szCs w:val="25"/>
                <w:spacing w:val="-2"/>
              </w:rPr>
              <w:t>87276322</w:t>
            </w:r>
          </w:p>
        </w:tc>
      </w:tr>
      <w:tr>
        <w:trPr>
          <w:trHeight w:val="1966" w:hRule="atLeast"/>
        </w:trPr>
        <w:tc>
          <w:tcPr>
            <w:tcW w:w="2152" w:type="dxa"/>
            <w:vAlign w:val="top"/>
            <w:vMerge w:val="continue"/>
            <w:tcBorders>
              <w:top w:val="nil"/>
              <w:bottom w:val="nil"/>
            </w:tcBorders>
          </w:tcPr>
          <w:p>
            <w:pPr>
              <w:rPr>
                <w:rFonts w:ascii="Arial"/>
                <w:sz w:val="21"/>
              </w:rPr>
            </w:pPr>
            <w:r/>
          </w:p>
        </w:tc>
        <w:tc>
          <w:tcPr>
            <w:tcW w:w="2148" w:type="dxa"/>
            <w:vAlign w:val="top"/>
          </w:tcPr>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pStyle w:val="TableText"/>
              <w:ind w:left="116"/>
              <w:spacing w:before="82" w:line="219" w:lineRule="auto"/>
              <w:rPr>
                <w:sz w:val="25"/>
                <w:szCs w:val="25"/>
              </w:rPr>
            </w:pPr>
            <w:r>
              <w:rPr>
                <w:sz w:val="25"/>
                <w:szCs w:val="25"/>
                <w:b/>
                <w:bCs/>
              </w:rPr>
              <w:t>看样联系人姓名</w:t>
            </w:r>
          </w:p>
        </w:tc>
        <w:tc>
          <w:tcPr>
            <w:tcW w:w="1808" w:type="dxa"/>
            <w:vAlign w:val="top"/>
          </w:tcPr>
          <w:p>
            <w:pPr>
              <w:spacing w:line="260" w:lineRule="auto"/>
              <w:rPr>
                <w:rFonts w:ascii="Arial"/>
                <w:sz w:val="21"/>
              </w:rPr>
            </w:pPr>
            <w:r/>
          </w:p>
          <w:p>
            <w:pPr>
              <w:spacing w:line="260" w:lineRule="auto"/>
              <w:rPr>
                <w:rFonts w:ascii="Arial"/>
                <w:sz w:val="21"/>
              </w:rPr>
            </w:pPr>
            <w:r/>
          </w:p>
          <w:p>
            <w:pPr>
              <w:spacing w:line="261" w:lineRule="auto"/>
              <w:rPr>
                <w:rFonts w:ascii="Arial"/>
                <w:sz w:val="21"/>
              </w:rPr>
            </w:pPr>
            <w:r/>
          </w:p>
          <w:p>
            <w:pPr>
              <w:pStyle w:val="TableText"/>
              <w:ind w:left="114"/>
              <w:spacing w:before="81" w:line="220" w:lineRule="auto"/>
              <w:rPr>
                <w:sz w:val="25"/>
                <w:szCs w:val="25"/>
              </w:rPr>
            </w:pPr>
            <w:r>
              <w:rPr>
                <w:sz w:val="25"/>
                <w:szCs w:val="25"/>
                <w:spacing w:val="4"/>
              </w:rPr>
              <w:t>徐志文</w:t>
            </w:r>
          </w:p>
        </w:tc>
        <w:tc>
          <w:tcPr>
            <w:tcW w:w="2148" w:type="dxa"/>
            <w:vAlign w:val="top"/>
          </w:tcPr>
          <w:p>
            <w:pPr>
              <w:spacing w:line="304" w:lineRule="auto"/>
              <w:rPr>
                <w:rFonts w:ascii="Arial"/>
                <w:sz w:val="21"/>
              </w:rPr>
            </w:pPr>
            <w:r/>
          </w:p>
          <w:p>
            <w:pPr>
              <w:spacing w:line="304" w:lineRule="auto"/>
              <w:rPr>
                <w:rFonts w:ascii="Arial"/>
                <w:sz w:val="21"/>
              </w:rPr>
            </w:pPr>
            <w:r/>
          </w:p>
          <w:p>
            <w:pPr>
              <w:pStyle w:val="TableText"/>
              <w:ind w:left="100" w:right="297"/>
              <w:spacing w:before="81" w:line="252" w:lineRule="auto"/>
              <w:rPr>
                <w:sz w:val="25"/>
                <w:szCs w:val="25"/>
              </w:rPr>
            </w:pPr>
            <w:r>
              <w:rPr>
                <w:sz w:val="25"/>
                <w:szCs w:val="25"/>
                <w:b/>
                <w:bCs/>
                <w:spacing w:val="-5"/>
              </w:rPr>
              <w:t>看样联系人通讯</w:t>
            </w:r>
            <w:r>
              <w:rPr>
                <w:sz w:val="25"/>
                <w:szCs w:val="25"/>
                <w:spacing w:val="5"/>
              </w:rPr>
              <w:t xml:space="preserve"> </w:t>
            </w:r>
            <w:r>
              <w:rPr>
                <w:sz w:val="25"/>
                <w:szCs w:val="25"/>
                <w:b/>
                <w:bCs/>
                <w:spacing w:val="-6"/>
              </w:rPr>
              <w:t>地址</w:t>
            </w:r>
          </w:p>
        </w:tc>
        <w:tc>
          <w:tcPr>
            <w:tcW w:w="1383" w:type="dxa"/>
            <w:vAlign w:val="top"/>
          </w:tcPr>
          <w:p>
            <w:pPr>
              <w:pStyle w:val="TableText"/>
              <w:ind w:left="108" w:right="123"/>
              <w:spacing w:before="184" w:line="254" w:lineRule="auto"/>
              <w:rPr>
                <w:sz w:val="25"/>
                <w:szCs w:val="25"/>
              </w:rPr>
            </w:pPr>
            <w:r>
              <w:rPr>
                <w:sz w:val="25"/>
                <w:szCs w:val="25"/>
                <w:spacing w:val="-3"/>
              </w:rPr>
              <w:t>福州市鼓</w:t>
            </w:r>
            <w:r>
              <w:rPr>
                <w:sz w:val="25"/>
                <w:szCs w:val="25"/>
                <w:spacing w:val="1"/>
              </w:rPr>
              <w:t xml:space="preserve">  </w:t>
            </w:r>
            <w:r>
              <w:rPr>
                <w:sz w:val="25"/>
                <w:szCs w:val="25"/>
                <w:spacing w:val="-3"/>
              </w:rPr>
              <w:t>楼区省府</w:t>
            </w:r>
            <w:r>
              <w:rPr>
                <w:sz w:val="25"/>
                <w:szCs w:val="25"/>
                <w:spacing w:val="1"/>
              </w:rPr>
              <w:t xml:space="preserve">  </w:t>
            </w:r>
            <w:r>
              <w:rPr>
                <w:sz w:val="25"/>
                <w:szCs w:val="25"/>
                <w:spacing w:val="3"/>
              </w:rPr>
              <w:t>路1号金皇</w:t>
            </w:r>
            <w:r>
              <w:rPr>
                <w:sz w:val="25"/>
                <w:szCs w:val="25"/>
              </w:rPr>
              <w:t xml:space="preserve"> </w:t>
            </w:r>
            <w:r>
              <w:rPr>
                <w:sz w:val="25"/>
                <w:szCs w:val="25"/>
                <w:spacing w:val="6"/>
              </w:rPr>
              <w:t>大厦十四</w:t>
            </w:r>
            <w:r>
              <w:rPr>
                <w:sz w:val="25"/>
                <w:szCs w:val="25"/>
              </w:rPr>
              <w:t xml:space="preserve">  </w:t>
            </w:r>
            <w:r>
              <w:rPr>
                <w:sz w:val="25"/>
                <w:szCs w:val="25"/>
              </w:rPr>
              <w:t>层</w:t>
            </w:r>
          </w:p>
        </w:tc>
      </w:tr>
      <w:tr>
        <w:trPr>
          <w:trHeight w:val="574" w:hRule="atLeast"/>
        </w:trPr>
        <w:tc>
          <w:tcPr>
            <w:tcW w:w="2152" w:type="dxa"/>
            <w:vAlign w:val="top"/>
            <w:vMerge w:val="continue"/>
            <w:tcBorders>
              <w:top w:val="nil"/>
            </w:tcBorders>
          </w:tcPr>
          <w:p>
            <w:pPr>
              <w:rPr>
                <w:rFonts w:ascii="Arial"/>
                <w:sz w:val="21"/>
              </w:rPr>
            </w:pPr>
            <w:r/>
          </w:p>
        </w:tc>
        <w:tc>
          <w:tcPr>
            <w:tcW w:w="2148" w:type="dxa"/>
            <w:vAlign w:val="top"/>
          </w:tcPr>
          <w:p>
            <w:pPr>
              <w:pStyle w:val="TableText"/>
              <w:ind w:left="116"/>
              <w:spacing w:before="166" w:line="219" w:lineRule="auto"/>
              <w:rPr>
                <w:sz w:val="25"/>
                <w:szCs w:val="25"/>
              </w:rPr>
            </w:pPr>
            <w:r>
              <w:rPr>
                <w:sz w:val="25"/>
                <w:szCs w:val="25"/>
                <w:b/>
                <w:bCs/>
                <w:spacing w:val="-4"/>
              </w:rPr>
              <w:t>看样联系人电话</w:t>
            </w:r>
          </w:p>
        </w:tc>
        <w:tc>
          <w:tcPr>
            <w:tcW w:w="1808" w:type="dxa"/>
            <w:vAlign w:val="top"/>
          </w:tcPr>
          <w:p>
            <w:pPr>
              <w:pStyle w:val="TableText"/>
              <w:ind w:left="114"/>
              <w:spacing w:before="194"/>
              <w:rPr>
                <w:sz w:val="25"/>
                <w:szCs w:val="25"/>
              </w:rPr>
            </w:pPr>
            <w:r>
              <w:rPr>
                <w:sz w:val="25"/>
                <w:szCs w:val="25"/>
                <w:spacing w:val="-3"/>
              </w:rPr>
              <w:t>17720740220</w:t>
            </w:r>
          </w:p>
        </w:tc>
        <w:tc>
          <w:tcPr>
            <w:tcW w:w="3531" w:type="dxa"/>
            <w:vAlign w:val="top"/>
            <w:gridSpan w:val="2"/>
          </w:tcPr>
          <w:p>
            <w:pPr>
              <w:rPr>
                <w:rFonts w:ascii="Arial"/>
                <w:sz w:val="21"/>
              </w:rPr>
            </w:pPr>
            <w:r/>
          </w:p>
        </w:tc>
      </w:tr>
    </w:tbl>
    <w:p>
      <w:pPr>
        <w:spacing w:before="78"/>
        <w:rPr/>
      </w:pPr>
      <w:r/>
    </w:p>
    <w:tbl>
      <w:tblPr>
        <w:tblStyle w:val="TableNormal"/>
        <w:tblW w:w="9649" w:type="dxa"/>
        <w:tblInd w:w="69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9649"/>
      </w:tblGrid>
      <w:tr>
        <w:trPr>
          <w:trHeight w:val="633" w:hRule="atLeast"/>
        </w:trPr>
        <w:tc>
          <w:tcPr>
            <w:tcW w:w="9649" w:type="dxa"/>
            <w:vAlign w:val="top"/>
          </w:tcPr>
          <w:p>
            <w:pPr>
              <w:pStyle w:val="TableText"/>
              <w:ind w:left="99"/>
              <w:spacing w:before="173" w:line="220" w:lineRule="auto"/>
              <w:rPr>
                <w:sz w:val="29"/>
                <w:szCs w:val="29"/>
              </w:rPr>
            </w:pPr>
            <w:r>
              <w:rPr>
                <w:sz w:val="29"/>
                <w:szCs w:val="29"/>
                <w:b/>
                <w:bCs/>
                <w:spacing w:val="-1"/>
              </w:rPr>
              <w:t>六、交易须知</w:t>
            </w:r>
          </w:p>
        </w:tc>
      </w:tr>
      <w:tr>
        <w:trPr>
          <w:trHeight w:val="5756" w:hRule="atLeast"/>
        </w:trPr>
        <w:tc>
          <w:tcPr>
            <w:tcW w:w="9649" w:type="dxa"/>
            <w:vAlign w:val="top"/>
          </w:tcPr>
          <w:p>
            <w:pPr>
              <w:spacing w:line="317" w:lineRule="auto"/>
              <w:rPr>
                <w:rFonts w:ascii="Arial"/>
                <w:sz w:val="21"/>
              </w:rPr>
            </w:pPr>
            <w:r/>
          </w:p>
          <w:p>
            <w:pPr>
              <w:pStyle w:val="TableText"/>
              <w:ind w:left="3009"/>
              <w:spacing w:before="101" w:line="219" w:lineRule="auto"/>
              <w:rPr>
                <w:sz w:val="31"/>
                <w:szCs w:val="31"/>
              </w:rPr>
            </w:pPr>
            <w:r>
              <w:rPr>
                <w:sz w:val="31"/>
                <w:szCs w:val="31"/>
                <w:b/>
                <w:bCs/>
                <w:spacing w:val="-2"/>
              </w:rPr>
              <w:t>小额资产交易平台交易须知</w:t>
            </w:r>
          </w:p>
          <w:p>
            <w:pPr>
              <w:pStyle w:val="TableText"/>
              <w:ind w:left="4417"/>
              <w:spacing w:before="190" w:line="220" w:lineRule="auto"/>
              <w:rPr>
                <w:sz w:val="21"/>
                <w:szCs w:val="21"/>
              </w:rPr>
            </w:pPr>
            <w:r>
              <w:rPr>
                <w:sz w:val="21"/>
                <w:szCs w:val="21"/>
                <w:b/>
                <w:bCs/>
                <w:spacing w:val="-4"/>
              </w:rPr>
              <w:t>一、总则</w:t>
            </w:r>
          </w:p>
          <w:p>
            <w:pPr>
              <w:pStyle w:val="TableText"/>
              <w:ind w:left="197" w:right="369" w:firstLine="469"/>
              <w:spacing w:before="217" w:line="246" w:lineRule="auto"/>
              <w:rPr>
                <w:sz w:val="21"/>
                <w:szCs w:val="21"/>
              </w:rPr>
            </w:pPr>
            <w:r>
              <w:rPr>
                <w:sz w:val="21"/>
                <w:szCs w:val="21"/>
                <w:b/>
                <w:bCs/>
                <w:spacing w:val="-2"/>
              </w:rPr>
              <w:t>第一条福建省产权交易中心有限公司(以下简称“交易</w:t>
            </w:r>
            <w:r>
              <w:rPr>
                <w:sz w:val="21"/>
                <w:szCs w:val="21"/>
                <w:b/>
                <w:bCs/>
                <w:spacing w:val="-3"/>
              </w:rPr>
              <w:t>中心”)依据委托方申请，依照公开、公</w:t>
            </w:r>
            <w:r>
              <w:rPr>
                <w:sz w:val="21"/>
                <w:szCs w:val="21"/>
              </w:rPr>
              <w:t xml:space="preserve"> </w:t>
            </w:r>
            <w:r>
              <w:rPr>
                <w:sz w:val="21"/>
                <w:szCs w:val="21"/>
                <w:b/>
                <w:bCs/>
                <w:spacing w:val="-3"/>
              </w:rPr>
              <w:t>平、公正和诚实信用的原则，发布项目公告。</w:t>
            </w:r>
          </w:p>
          <w:p>
            <w:pPr>
              <w:pStyle w:val="TableText"/>
              <w:ind w:left="177" w:firstLine="479"/>
              <w:spacing w:before="1" w:line="249" w:lineRule="auto"/>
              <w:rPr>
                <w:sz w:val="21"/>
                <w:szCs w:val="21"/>
              </w:rPr>
            </w:pPr>
            <w:r>
              <w:rPr>
                <w:sz w:val="21"/>
                <w:szCs w:val="21"/>
                <w:b/>
                <w:bCs/>
                <w:spacing w:val="-3"/>
              </w:rPr>
              <w:t>交易中心项目公告披露的项目相关信息均为参考性意见，不构</w:t>
            </w:r>
            <w:r>
              <w:rPr>
                <w:sz w:val="21"/>
                <w:szCs w:val="21"/>
                <w:b/>
                <w:bCs/>
                <w:spacing w:val="-4"/>
              </w:rPr>
              <w:t>成交易中心对任何人的承诺。任何单</w:t>
            </w:r>
            <w:r>
              <w:rPr>
                <w:sz w:val="21"/>
                <w:szCs w:val="21"/>
              </w:rPr>
              <w:t xml:space="preserve"> </w:t>
            </w:r>
            <w:r>
              <w:rPr>
                <w:sz w:val="21"/>
                <w:szCs w:val="21"/>
                <w:b/>
                <w:bCs/>
                <w:spacing w:val="-2"/>
              </w:rPr>
              <w:t>位或个人均无权以交易中心的名义做出有关交易</w:t>
            </w:r>
            <w:r>
              <w:rPr>
                <w:sz w:val="21"/>
                <w:szCs w:val="21"/>
                <w:b/>
                <w:bCs/>
                <w:spacing w:val="-3"/>
              </w:rPr>
              <w:t>的承诺，交易中心对此类承诺概不承担任何法律责任。</w:t>
            </w:r>
          </w:p>
          <w:p>
            <w:pPr>
              <w:pStyle w:val="TableText"/>
              <w:ind w:left="197" w:firstLine="479"/>
              <w:spacing w:before="4" w:line="236" w:lineRule="auto"/>
              <w:rPr>
                <w:sz w:val="21"/>
                <w:szCs w:val="21"/>
              </w:rPr>
            </w:pPr>
            <w:r>
              <w:rPr>
                <w:sz w:val="21"/>
                <w:szCs w:val="21"/>
                <w:b/>
                <w:bCs/>
                <w:spacing w:val="-4"/>
              </w:rPr>
              <w:t>第二条意向投资人【指意向受让方或意向承租方或竞买人或竞租人等，下同】参与交易的，应当遵</w:t>
            </w:r>
            <w:r>
              <w:rPr>
                <w:sz w:val="21"/>
                <w:szCs w:val="21"/>
                <w:spacing w:val="7"/>
              </w:rPr>
              <w:t xml:space="preserve"> </w:t>
            </w:r>
            <w:r>
              <w:rPr>
                <w:sz w:val="21"/>
                <w:szCs w:val="21"/>
                <w:b/>
                <w:bCs/>
                <w:spacing w:val="-3"/>
              </w:rPr>
              <w:t>守交易中心的交易规则，并仔细阅读本交易须知。</w:t>
            </w:r>
          </w:p>
          <w:p>
            <w:pPr>
              <w:pStyle w:val="TableText"/>
              <w:ind w:left="197" w:firstLine="469"/>
              <w:spacing w:before="41" w:line="233" w:lineRule="auto"/>
              <w:rPr>
                <w:sz w:val="21"/>
                <w:szCs w:val="21"/>
              </w:rPr>
            </w:pPr>
            <w:r>
              <w:rPr>
                <w:sz w:val="21"/>
                <w:szCs w:val="21"/>
                <w:b/>
                <w:bCs/>
                <w:spacing w:val="-4"/>
              </w:rPr>
              <w:t>第三条意向投资人报名前应认真阅读交易中心发布的项目完整公告、交易风险提示书、申请人承诺</w:t>
            </w:r>
            <w:r>
              <w:rPr>
                <w:sz w:val="21"/>
                <w:szCs w:val="21"/>
                <w:spacing w:val="17"/>
              </w:rPr>
              <w:t xml:space="preserve"> </w:t>
            </w:r>
            <w:r>
              <w:rPr>
                <w:sz w:val="21"/>
                <w:szCs w:val="21"/>
                <w:b/>
                <w:bCs/>
                <w:spacing w:val="-3"/>
              </w:rPr>
              <w:t>等内容，包括但不限于投资风险、项目情况、瑕疵披露、相关权利义务等。</w:t>
            </w:r>
          </w:p>
          <w:p>
            <w:pPr>
              <w:pStyle w:val="TableText"/>
              <w:ind w:left="187" w:right="94" w:firstLine="489"/>
              <w:spacing w:before="30" w:line="241" w:lineRule="auto"/>
              <w:rPr>
                <w:sz w:val="21"/>
                <w:szCs w:val="21"/>
              </w:rPr>
            </w:pPr>
            <w:r>
              <w:rPr>
                <w:sz w:val="21"/>
                <w:szCs w:val="21"/>
                <w:b/>
                <w:bCs/>
                <w:spacing w:val="-2"/>
              </w:rPr>
              <w:t>第四条交易中心平台【指“福建省产权交易中心微信小</w:t>
            </w:r>
            <w:r>
              <w:rPr>
                <w:sz w:val="21"/>
                <w:szCs w:val="21"/>
                <w:b/>
                <w:bCs/>
                <w:spacing w:val="-3"/>
              </w:rPr>
              <w:t>程序”及“福建省产权交易中心交易系统</w:t>
            </w:r>
            <w:r>
              <w:rPr>
                <w:sz w:val="21"/>
                <w:szCs w:val="21"/>
              </w:rPr>
              <w:t xml:space="preserve">  </w:t>
            </w:r>
            <w:r>
              <w:rPr>
                <w:sz w:val="21"/>
                <w:szCs w:val="21"/>
                <w:b/>
                <w:bCs/>
                <w:spacing w:val="-2"/>
              </w:rPr>
              <w:t>(</w:t>
            </w:r>
            <w:hyperlink w:history="true" r:id="rId16">
              <w:r>
                <w:rPr>
                  <w:sz w:val="21"/>
                  <w:szCs w:val="21"/>
                  <w:b/>
                  <w:bCs/>
                  <w:spacing w:val="-2"/>
                </w:rPr>
                <w:t>https://biz.fjcqjy.com/#/Login</w:t>
              </w:r>
            </w:hyperlink>
            <w:r>
              <w:rPr>
                <w:sz w:val="21"/>
                <w:szCs w:val="21"/>
                <w:b/>
                <w:bCs/>
                <w:spacing w:val="-2"/>
              </w:rPr>
              <w:t>)”,下同】为交易中心指定的网上交易平台，意向投资人通</w:t>
            </w:r>
            <w:r>
              <w:rPr>
                <w:sz w:val="21"/>
                <w:szCs w:val="21"/>
                <w:b/>
                <w:bCs/>
                <w:spacing w:val="-3"/>
              </w:rPr>
              <w:t>过交易</w:t>
            </w:r>
            <w:r>
              <w:rPr>
                <w:sz w:val="21"/>
                <w:szCs w:val="21"/>
              </w:rPr>
              <w:t xml:space="preserve">  </w:t>
            </w:r>
            <w:r>
              <w:rPr>
                <w:sz w:val="21"/>
                <w:szCs w:val="21"/>
                <w:b/>
                <w:bCs/>
                <w:spacing w:val="-3"/>
              </w:rPr>
              <w:t>中心平台参与交易。</w:t>
            </w:r>
          </w:p>
          <w:p>
            <w:pPr>
              <w:pStyle w:val="TableText"/>
              <w:ind w:left="3707"/>
              <w:spacing w:before="199" w:line="219" w:lineRule="auto"/>
              <w:rPr>
                <w:sz w:val="21"/>
                <w:szCs w:val="21"/>
              </w:rPr>
            </w:pPr>
            <w:r>
              <w:rPr>
                <w:sz w:val="21"/>
                <w:szCs w:val="21"/>
                <w:b/>
                <w:bCs/>
                <w:spacing w:val="-1"/>
              </w:rPr>
              <w:t>二、关于网上报名的说明</w:t>
            </w:r>
          </w:p>
          <w:p>
            <w:pPr>
              <w:pStyle w:val="TableText"/>
              <w:ind w:left="677"/>
              <w:spacing w:before="191" w:line="219" w:lineRule="auto"/>
              <w:rPr>
                <w:sz w:val="21"/>
                <w:szCs w:val="21"/>
              </w:rPr>
            </w:pPr>
            <w:r>
              <w:rPr>
                <w:sz w:val="21"/>
                <w:szCs w:val="21"/>
                <w:b/>
                <w:bCs/>
                <w:spacing w:val="-3"/>
              </w:rPr>
              <w:t>第五条意向投资人参与交易，需通过交易中心平台进行注册、提交报名申请。</w:t>
            </w:r>
          </w:p>
        </w:tc>
      </w:tr>
    </w:tbl>
    <w:p>
      <w:pPr>
        <w:pStyle w:val="BodyText"/>
        <w:rPr/>
      </w:pPr>
      <w:r/>
    </w:p>
    <w:p>
      <w:pPr>
        <w:sectPr>
          <w:headerReference w:type="default" r:id="rId14"/>
          <w:footerReference w:type="default" r:id="rId15"/>
          <w:pgSz w:w="11910" w:h="16840"/>
          <w:pgMar w:top="500" w:right="515" w:bottom="467" w:left="449" w:header="238" w:footer="262" w:gutter="0"/>
        </w:sectPr>
        <w:rPr/>
      </w:pPr>
    </w:p>
    <w:p>
      <w:pPr>
        <w:spacing w:before="58"/>
        <w:rPr/>
      </w:pPr>
      <w:r/>
    </w:p>
    <w:p>
      <w:pPr>
        <w:spacing w:before="58"/>
        <w:rPr/>
      </w:pPr>
      <w:r/>
    </w:p>
    <w:tbl>
      <w:tblPr>
        <w:tblStyle w:val="TableNormal"/>
        <w:tblW w:w="9404" w:type="dxa"/>
        <w:tblInd w:w="69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9404"/>
      </w:tblGrid>
      <w:tr>
        <w:trPr>
          <w:trHeight w:val="1400" w:hRule="atLeast"/>
        </w:trPr>
        <w:tc>
          <w:tcPr>
            <w:tcW w:w="9404" w:type="dxa"/>
            <w:vAlign w:val="top"/>
            <w:tcBorders>
              <w:right w:val="nil"/>
              <w:top w:val="nil"/>
              <w:left w:val="single" w:color="000000" w:sz="8" w:space="0"/>
            </w:tcBorders>
          </w:tcPr>
          <w:p>
            <w:pPr>
              <w:pStyle w:val="TableText"/>
              <w:ind w:left="159" w:right="56" w:firstLine="479"/>
              <w:spacing w:before="66" w:line="246" w:lineRule="auto"/>
              <w:rPr>
                <w:sz w:val="20"/>
                <w:szCs w:val="20"/>
              </w:rPr>
            </w:pPr>
            <w:r>
              <w:rPr>
                <w:sz w:val="20"/>
                <w:szCs w:val="20"/>
                <w:spacing w:val="-2"/>
              </w:rPr>
              <w:t>第六条交易中心不提供任何网络终端设备。意向投资人自备网络</w:t>
            </w:r>
            <w:r>
              <w:rPr>
                <w:sz w:val="20"/>
                <w:szCs w:val="20"/>
                <w:spacing w:val="-3"/>
              </w:rPr>
              <w:t>终端设备并自行注册登录账户。账户</w:t>
            </w:r>
            <w:r>
              <w:rPr>
                <w:sz w:val="20"/>
                <w:szCs w:val="20"/>
              </w:rPr>
              <w:t xml:space="preserve"> </w:t>
            </w:r>
            <w:r>
              <w:rPr>
                <w:sz w:val="20"/>
                <w:szCs w:val="20"/>
                <w:spacing w:val="-5"/>
              </w:rPr>
              <w:t>名、密码等所有账户信息完全由意向投资人自行设定，其安全性及保密性也由意向投资人自</w:t>
            </w:r>
            <w:r>
              <w:rPr>
                <w:sz w:val="20"/>
                <w:szCs w:val="20"/>
                <w:spacing w:val="-6"/>
              </w:rPr>
              <w:t>行负责，并自行</w:t>
            </w:r>
            <w:r>
              <w:rPr>
                <w:sz w:val="20"/>
                <w:szCs w:val="20"/>
              </w:rPr>
              <w:t xml:space="preserve"> </w:t>
            </w:r>
            <w:r>
              <w:rPr>
                <w:sz w:val="20"/>
                <w:szCs w:val="20"/>
                <w:spacing w:val="-6"/>
              </w:rPr>
              <w:t>承担由此产生的一切法律责任和经济损失。</w:t>
            </w:r>
          </w:p>
          <w:p>
            <w:pPr>
              <w:ind w:left="162" w:right="7" w:firstLine="479"/>
              <w:spacing w:before="69" w:line="221" w:lineRule="auto"/>
              <w:rPr>
                <w:rFonts w:ascii="SimHei" w:hAnsi="SimHei" w:eastAsia="SimHei" w:cs="SimHei"/>
                <w:sz w:val="19"/>
                <w:szCs w:val="19"/>
              </w:rPr>
            </w:pPr>
            <w:r>
              <w:rPr>
                <w:rFonts w:ascii="SimHei" w:hAnsi="SimHei" w:eastAsia="SimHei" w:cs="SimHei"/>
                <w:sz w:val="19"/>
                <w:szCs w:val="19"/>
                <w:b/>
                <w:bCs/>
                <w:u w:val="single" w:color="auto"/>
                <w:spacing w:val="10"/>
              </w:rPr>
              <w:t>第七条交易中心已按照委托方的要求对项目交易标的现状和已知的瑕疵、风险进行了披露，但该行</w:t>
            </w:r>
            <w:r>
              <w:rPr>
                <w:rFonts w:ascii="SimHei" w:hAnsi="SimHei" w:eastAsia="SimHei" w:cs="SimHei"/>
                <w:sz w:val="19"/>
                <w:szCs w:val="19"/>
                <w:spacing w:val="2"/>
              </w:rPr>
              <w:t xml:space="preserve">  </w:t>
            </w:r>
            <w:r>
              <w:rPr>
                <w:rFonts w:ascii="SimHei" w:hAnsi="SimHei" w:eastAsia="SimHei" w:cs="SimHei"/>
                <w:sz w:val="19"/>
                <w:szCs w:val="19"/>
                <w:b/>
                <w:bCs/>
                <w:spacing w:val="9"/>
              </w:rPr>
              <w:t>为不能视为交易中心对交易标的的现状、品质作出保</w:t>
            </w:r>
            <w:r>
              <w:rPr>
                <w:rFonts w:ascii="SimHei" w:hAnsi="SimHei" w:eastAsia="SimHei" w:cs="SimHei"/>
                <w:sz w:val="19"/>
                <w:szCs w:val="19"/>
                <w:b/>
                <w:bCs/>
                <w:spacing w:val="8"/>
              </w:rPr>
              <w:t>证，交易中心对此不承担瑕疵担保责任。意向投资人</w:t>
            </w:r>
          </w:p>
        </w:tc>
      </w:tr>
      <w:tr>
        <w:trPr>
          <w:trHeight w:val="855" w:hRule="atLeast"/>
        </w:trPr>
        <w:tc>
          <w:tcPr>
            <w:tcW w:w="9404" w:type="dxa"/>
            <w:vAlign w:val="top"/>
            <w:tcBorders>
              <w:right w:val="nil"/>
              <w:left w:val="single" w:color="000000" w:sz="8" w:space="0"/>
            </w:tcBorders>
          </w:tcPr>
          <w:p>
            <w:pPr>
              <w:ind w:left="162"/>
              <w:spacing w:before="98" w:line="222" w:lineRule="auto"/>
              <w:rPr>
                <w:rFonts w:ascii="SimHei" w:hAnsi="SimHei" w:eastAsia="SimHei" w:cs="SimHei"/>
                <w:sz w:val="19"/>
                <w:szCs w:val="19"/>
              </w:rPr>
            </w:pPr>
            <w:r>
              <w:rPr>
                <w:rFonts w:ascii="SimHei" w:hAnsi="SimHei" w:eastAsia="SimHei" w:cs="SimHei"/>
                <w:sz w:val="19"/>
                <w:szCs w:val="19"/>
                <w:b/>
                <w:bCs/>
                <w:u w:val="single" w:color="auto"/>
                <w:spacing w:val="1"/>
              </w:rPr>
              <w:t>应对项目交易标的进行实地考察和尽职调查。</w:t>
            </w:r>
            <w:r>
              <w:rPr>
                <w:rFonts w:ascii="SimHei" w:hAnsi="SimHei" w:eastAsia="SimHei" w:cs="SimHei"/>
                <w:sz w:val="19"/>
                <w:szCs w:val="19"/>
                <w:u w:val="single" w:color="auto"/>
                <w:spacing w:val="6"/>
              </w:rPr>
              <w:t xml:space="preserve">  </w:t>
            </w:r>
          </w:p>
          <w:p>
            <w:pPr>
              <w:ind w:left="162" w:right="11" w:firstLine="477"/>
              <w:spacing w:before="64" w:line="220" w:lineRule="auto"/>
              <w:rPr>
                <w:rFonts w:ascii="SimHei" w:hAnsi="SimHei" w:eastAsia="SimHei" w:cs="SimHei"/>
                <w:sz w:val="19"/>
                <w:szCs w:val="19"/>
              </w:rPr>
            </w:pPr>
            <w:r>
              <w:rPr>
                <w:rFonts w:ascii="SimHei" w:hAnsi="SimHei" w:eastAsia="SimHei" w:cs="SimHei"/>
                <w:sz w:val="19"/>
                <w:szCs w:val="19"/>
                <w:spacing w:val="9"/>
              </w:rPr>
              <w:t>第八条意向投资人报名应具备项目公告要求的资格条件，</w:t>
            </w:r>
            <w:r>
              <w:rPr>
                <w:rFonts w:ascii="SimHei" w:hAnsi="SimHei" w:eastAsia="SimHei" w:cs="SimHei"/>
                <w:sz w:val="19"/>
                <w:szCs w:val="19"/>
                <w:spacing w:val="-33"/>
              </w:rPr>
              <w:t xml:space="preserve"> </w:t>
            </w:r>
            <w:r>
              <w:rPr>
                <w:rFonts w:ascii="SimHei" w:hAnsi="SimHei" w:eastAsia="SimHei" w:cs="SimHei"/>
                <w:sz w:val="19"/>
                <w:szCs w:val="19"/>
                <w:b/>
                <w:bCs/>
                <w:u w:val="single" w:color="auto"/>
                <w:spacing w:val="9"/>
              </w:rPr>
              <w:t>对提交的主体身份信息和相关报名资格</w:t>
            </w:r>
            <w:r>
              <w:rPr>
                <w:rFonts w:ascii="SimHei" w:hAnsi="SimHei" w:eastAsia="SimHei" w:cs="SimHei"/>
                <w:sz w:val="19"/>
                <w:szCs w:val="19"/>
                <w:b/>
                <w:bCs/>
                <w:spacing w:val="9"/>
              </w:rPr>
              <w:t>材</w:t>
            </w:r>
            <w:r>
              <w:rPr>
                <w:rFonts w:ascii="SimHei" w:hAnsi="SimHei" w:eastAsia="SimHei" w:cs="SimHei"/>
                <w:sz w:val="19"/>
                <w:szCs w:val="19"/>
              </w:rPr>
              <w:t xml:space="preserve">  </w:t>
            </w:r>
            <w:r>
              <w:rPr>
                <w:rFonts w:ascii="SimHei" w:hAnsi="SimHei" w:eastAsia="SimHei" w:cs="SimHei"/>
                <w:sz w:val="19"/>
                <w:szCs w:val="19"/>
                <w:b/>
                <w:bCs/>
                <w:spacing w:val="8"/>
              </w:rPr>
              <w:t>料的真实性、完整性、合法性、准确性、有效性承担法律责任，并确保其内容不存在虚假记载、误导性陈</w:t>
            </w:r>
          </w:p>
        </w:tc>
      </w:tr>
      <w:tr>
        <w:trPr>
          <w:trHeight w:val="2005" w:hRule="atLeast"/>
        </w:trPr>
        <w:tc>
          <w:tcPr>
            <w:tcW w:w="9404" w:type="dxa"/>
            <w:vAlign w:val="top"/>
            <w:tcBorders>
              <w:right w:val="nil"/>
              <w:left w:val="single" w:color="000000" w:sz="8" w:space="0"/>
            </w:tcBorders>
          </w:tcPr>
          <w:p>
            <w:pPr>
              <w:ind w:left="162"/>
              <w:spacing w:before="98" w:line="222" w:lineRule="auto"/>
              <w:rPr>
                <w:rFonts w:ascii="SimHei" w:hAnsi="SimHei" w:eastAsia="SimHei" w:cs="SimHei"/>
                <w:sz w:val="19"/>
                <w:szCs w:val="19"/>
              </w:rPr>
            </w:pPr>
            <w:r>
              <w:rPr>
                <w:rFonts w:ascii="SimHei" w:hAnsi="SimHei" w:eastAsia="SimHei" w:cs="SimHei"/>
                <w:sz w:val="19"/>
                <w:szCs w:val="19"/>
                <w:b/>
                <w:bCs/>
                <w:u w:val="single" w:color="auto"/>
                <w:spacing w:val="-2"/>
              </w:rPr>
              <w:t>述或重大遗漏。</w:t>
            </w:r>
            <w:r>
              <w:rPr>
                <w:rFonts w:ascii="SimHei" w:hAnsi="SimHei" w:eastAsia="SimHei" w:cs="SimHei"/>
                <w:sz w:val="19"/>
                <w:szCs w:val="19"/>
                <w:u w:val="single" w:color="auto"/>
                <w:spacing w:val="-2"/>
              </w:rPr>
              <w:t xml:space="preserve"> </w:t>
            </w:r>
          </w:p>
          <w:p>
            <w:pPr>
              <w:ind w:left="159" w:right="6" w:firstLine="479"/>
              <w:spacing w:before="54" w:line="255" w:lineRule="auto"/>
              <w:rPr>
                <w:rFonts w:ascii="SimHei" w:hAnsi="SimHei" w:eastAsia="SimHei" w:cs="SimHei"/>
                <w:sz w:val="20"/>
                <w:szCs w:val="20"/>
              </w:rPr>
            </w:pPr>
            <w:r>
              <w:rPr>
                <w:rFonts w:ascii="SimHei" w:hAnsi="SimHei" w:eastAsia="SimHei" w:cs="SimHei"/>
                <w:sz w:val="20"/>
                <w:szCs w:val="20"/>
                <w:spacing w:val="2"/>
              </w:rPr>
              <w:t>第九条意向投资人应在项目公告要求的有效报名时间段内按照交易中心项目公告</w:t>
            </w:r>
            <w:r>
              <w:rPr>
                <w:rFonts w:ascii="SimHei" w:hAnsi="SimHei" w:eastAsia="SimHei" w:cs="SimHei"/>
                <w:sz w:val="20"/>
                <w:szCs w:val="20"/>
                <w:spacing w:val="1"/>
              </w:rPr>
              <w:t>的要求提交报名材</w:t>
            </w:r>
            <w:r>
              <w:rPr>
                <w:rFonts w:ascii="SimHei" w:hAnsi="SimHei" w:eastAsia="SimHei" w:cs="SimHei"/>
                <w:sz w:val="20"/>
                <w:szCs w:val="20"/>
              </w:rPr>
              <w:t xml:space="preserve"> </w:t>
            </w:r>
            <w:r>
              <w:rPr>
                <w:rFonts w:ascii="SimHei" w:hAnsi="SimHei" w:eastAsia="SimHei" w:cs="SimHei"/>
                <w:sz w:val="20"/>
                <w:szCs w:val="20"/>
                <w:spacing w:val="2"/>
              </w:rPr>
              <w:t>料，并交纳足额交易保证金(以在规定时间内到达交易中心指定账户为准)。</w:t>
            </w:r>
            <w:r>
              <w:rPr>
                <w:rFonts w:ascii="SimHei" w:hAnsi="SimHei" w:eastAsia="SimHei" w:cs="SimHei"/>
                <w:sz w:val="20"/>
                <w:szCs w:val="20"/>
                <w:spacing w:val="2"/>
              </w:rPr>
              <w:t xml:space="preserve"> </w:t>
            </w:r>
            <w:r>
              <w:rPr>
                <w:rFonts w:ascii="SimHei" w:hAnsi="SimHei" w:eastAsia="SimHei" w:cs="SimHei"/>
                <w:sz w:val="20"/>
                <w:szCs w:val="20"/>
                <w:b/>
                <w:bCs/>
                <w:u w:val="single" w:color="auto"/>
                <w:spacing w:val="2"/>
              </w:rPr>
              <w:t>交易保证金原则上不接受代</w:t>
            </w:r>
            <w:r>
              <w:rPr>
                <w:rFonts w:ascii="SimHei" w:hAnsi="SimHei" w:eastAsia="SimHei" w:cs="SimHei"/>
                <w:sz w:val="20"/>
                <w:szCs w:val="20"/>
                <w:spacing w:val="7"/>
              </w:rPr>
              <w:t xml:space="preserve"> </w:t>
            </w:r>
            <w:r>
              <w:rPr>
                <w:rFonts w:ascii="SimHei" w:hAnsi="SimHei" w:eastAsia="SimHei" w:cs="SimHei"/>
                <w:sz w:val="20"/>
                <w:szCs w:val="20"/>
                <w:b/>
                <w:bCs/>
                <w:u w:val="single" w:color="auto"/>
                <w:spacing w:val="-3"/>
              </w:rPr>
              <w:t>收代付。</w:t>
            </w:r>
          </w:p>
          <w:p>
            <w:pPr>
              <w:ind w:left="639"/>
              <w:spacing w:before="1" w:line="213" w:lineRule="auto"/>
              <w:rPr>
                <w:rFonts w:ascii="SimHei" w:hAnsi="SimHei" w:eastAsia="SimHei" w:cs="SimHei"/>
                <w:sz w:val="22"/>
                <w:szCs w:val="22"/>
              </w:rPr>
            </w:pPr>
            <w:r>
              <w:rPr>
                <w:rFonts w:ascii="SimHei" w:hAnsi="SimHei" w:eastAsia="SimHei" w:cs="SimHei"/>
                <w:sz w:val="22"/>
                <w:szCs w:val="22"/>
                <w:spacing w:val="-18"/>
              </w:rPr>
              <w:t>第十条若享有优先权的意向投资人参与交易的，该意向投资人</w:t>
            </w:r>
            <w:r>
              <w:rPr>
                <w:rFonts w:ascii="SimHei" w:hAnsi="SimHei" w:eastAsia="SimHei" w:cs="SimHei"/>
                <w:sz w:val="22"/>
                <w:szCs w:val="22"/>
                <w:spacing w:val="-19"/>
              </w:rPr>
              <w:t>应遵循项目公告的相关规定。</w:t>
            </w:r>
          </w:p>
          <w:p>
            <w:pPr>
              <w:ind w:left="642"/>
              <w:spacing w:before="74" w:line="213" w:lineRule="auto"/>
              <w:rPr>
                <w:rFonts w:ascii="SimHei" w:hAnsi="SimHei" w:eastAsia="SimHei" w:cs="SimHei"/>
                <w:sz w:val="19"/>
                <w:szCs w:val="19"/>
              </w:rPr>
            </w:pPr>
            <w:r>
              <w:rPr>
                <w:rFonts w:ascii="SimHei" w:hAnsi="SimHei" w:eastAsia="SimHei" w:cs="SimHei"/>
                <w:sz w:val="19"/>
                <w:szCs w:val="19"/>
                <w:b/>
                <w:bCs/>
                <w:u w:val="single" w:color="auto"/>
                <w:spacing w:val="12"/>
              </w:rPr>
              <w:t>第十一条项目挂牌公告期间，已完成报名手续(即在交易中心平台上点击“提交报名”且已足</w:t>
            </w:r>
            <w:r>
              <w:rPr>
                <w:rFonts w:ascii="SimHei" w:hAnsi="SimHei" w:eastAsia="SimHei" w:cs="SimHei"/>
                <w:sz w:val="19"/>
                <w:szCs w:val="19"/>
                <w:b/>
                <w:bCs/>
                <w:u w:val="single" w:color="auto"/>
                <w:spacing w:val="11"/>
              </w:rPr>
              <w:t>额交</w:t>
            </w:r>
          </w:p>
          <w:p>
            <w:pPr>
              <w:ind w:right="9"/>
              <w:spacing w:before="60" w:line="170" w:lineRule="auto"/>
              <w:jc w:val="right"/>
              <w:rPr>
                <w:rFonts w:ascii="SimHei" w:hAnsi="SimHei" w:eastAsia="SimHei" w:cs="SimHei"/>
                <w:sz w:val="19"/>
                <w:szCs w:val="19"/>
              </w:rPr>
            </w:pPr>
            <w:r>
              <w:rPr>
                <w:rFonts w:ascii="SimHei" w:hAnsi="SimHei" w:eastAsia="SimHei" w:cs="SimHei"/>
                <w:sz w:val="19"/>
                <w:szCs w:val="19"/>
                <w:b/>
                <w:bCs/>
                <w:spacing w:val="11"/>
              </w:rPr>
              <w:t>纳交易保证金)且通过资格审核的意向投资人不得撤</w:t>
            </w:r>
            <w:r>
              <w:rPr>
                <w:rFonts w:ascii="SimHei" w:hAnsi="SimHei" w:eastAsia="SimHei" w:cs="SimHei"/>
                <w:sz w:val="19"/>
                <w:szCs w:val="19"/>
                <w:b/>
                <w:bCs/>
                <w:spacing w:val="10"/>
              </w:rPr>
              <w:t>回报名，否则将承担项目公告或交易须知中约定的包</w:t>
            </w:r>
          </w:p>
        </w:tc>
      </w:tr>
      <w:tr>
        <w:trPr>
          <w:trHeight w:val="7495" w:hRule="atLeast"/>
        </w:trPr>
        <w:tc>
          <w:tcPr>
            <w:tcW w:w="9404" w:type="dxa"/>
            <w:vAlign w:val="top"/>
            <w:tcBorders>
              <w:right w:val="nil"/>
              <w:left w:val="single" w:color="000000" w:sz="8" w:space="0"/>
            </w:tcBorders>
          </w:tcPr>
          <w:p>
            <w:pPr>
              <w:ind w:left="162"/>
              <w:spacing w:before="98" w:line="221" w:lineRule="auto"/>
              <w:rPr>
                <w:rFonts w:ascii="SimHei" w:hAnsi="SimHei" w:eastAsia="SimHei" w:cs="SimHei"/>
                <w:sz w:val="19"/>
                <w:szCs w:val="19"/>
              </w:rPr>
            </w:pPr>
            <w:r>
              <w:rPr>
                <w:rFonts w:ascii="SimHei" w:hAnsi="SimHei" w:eastAsia="SimHei" w:cs="SimHei"/>
                <w:sz w:val="19"/>
                <w:szCs w:val="19"/>
                <w:b/>
                <w:bCs/>
                <w:u w:val="single" w:color="auto"/>
                <w:spacing w:val="4"/>
              </w:rPr>
              <w:t>括但不限于交易中心不予返还意向投资人已交纳的交易保证金等</w:t>
            </w:r>
            <w:r>
              <w:rPr>
                <w:rFonts w:ascii="SimHei" w:hAnsi="SimHei" w:eastAsia="SimHei" w:cs="SimHei"/>
                <w:sz w:val="19"/>
                <w:szCs w:val="19"/>
                <w:b/>
                <w:bCs/>
                <w:u w:val="single" w:color="auto"/>
                <w:spacing w:val="3"/>
              </w:rPr>
              <w:t>违约责任。</w:t>
            </w:r>
            <w:r>
              <w:rPr>
                <w:rFonts w:ascii="SimHei" w:hAnsi="SimHei" w:eastAsia="SimHei" w:cs="SimHei"/>
                <w:sz w:val="19"/>
                <w:szCs w:val="19"/>
                <w:u w:val="single" w:color="auto"/>
              </w:rPr>
              <w:t xml:space="preserve">  </w:t>
            </w:r>
          </w:p>
          <w:p>
            <w:pPr>
              <w:ind w:left="3603"/>
              <w:spacing w:before="183" w:line="221" w:lineRule="auto"/>
              <w:rPr>
                <w:rFonts w:ascii="SimHei" w:hAnsi="SimHei" w:eastAsia="SimHei" w:cs="SimHei"/>
                <w:sz w:val="22"/>
                <w:szCs w:val="22"/>
              </w:rPr>
            </w:pPr>
            <w:r>
              <w:rPr>
                <w:rFonts w:ascii="SimHei" w:hAnsi="SimHei" w:eastAsia="SimHei" w:cs="SimHei"/>
                <w:sz w:val="22"/>
                <w:szCs w:val="22"/>
                <w:b/>
                <w:bCs/>
                <w:spacing w:val="-20"/>
              </w:rPr>
              <w:t>三、关于中止或终结的说明</w:t>
            </w:r>
          </w:p>
          <w:p>
            <w:pPr>
              <w:ind w:left="639"/>
              <w:spacing w:before="170" w:line="213" w:lineRule="auto"/>
              <w:rPr>
                <w:rFonts w:ascii="SimHei" w:hAnsi="SimHei" w:eastAsia="SimHei" w:cs="SimHei"/>
                <w:sz w:val="22"/>
                <w:szCs w:val="22"/>
              </w:rPr>
            </w:pPr>
            <w:r>
              <w:rPr>
                <w:rFonts w:ascii="SimHei" w:hAnsi="SimHei" w:eastAsia="SimHei" w:cs="SimHei"/>
                <w:sz w:val="22"/>
                <w:szCs w:val="22"/>
                <w:spacing w:val="-18"/>
              </w:rPr>
              <w:t>第十二条当出现以下几种情况时，交易活动中止或终结：</w:t>
            </w:r>
          </w:p>
          <w:p>
            <w:pPr>
              <w:ind w:left="159" w:right="141" w:firstLine="600"/>
              <w:spacing w:before="36" w:line="224" w:lineRule="auto"/>
              <w:rPr>
                <w:rFonts w:ascii="SimHei" w:hAnsi="SimHei" w:eastAsia="SimHei" w:cs="SimHei"/>
                <w:sz w:val="22"/>
                <w:szCs w:val="22"/>
              </w:rPr>
            </w:pPr>
            <w:r>
              <w:rPr>
                <w:rFonts w:ascii="SimHei" w:hAnsi="SimHei" w:eastAsia="SimHei" w:cs="SimHei"/>
                <w:sz w:val="22"/>
                <w:szCs w:val="22"/>
                <w:spacing w:val="-17"/>
              </w:rPr>
              <w:t>(一)没有意向投资人按照本项目公告规定的程序提交报</w:t>
            </w:r>
            <w:r>
              <w:rPr>
                <w:rFonts w:ascii="SimHei" w:hAnsi="SimHei" w:eastAsia="SimHei" w:cs="SimHei"/>
                <w:sz w:val="22"/>
                <w:szCs w:val="22"/>
                <w:spacing w:val="-18"/>
              </w:rPr>
              <w:t>名材料及交纳交易保证金，本次交易活动</w:t>
            </w:r>
            <w:r>
              <w:rPr>
                <w:rFonts w:ascii="SimHei" w:hAnsi="SimHei" w:eastAsia="SimHei" w:cs="SimHei"/>
                <w:sz w:val="22"/>
                <w:szCs w:val="22"/>
              </w:rPr>
              <w:t xml:space="preserve"> </w:t>
            </w:r>
            <w:r>
              <w:rPr>
                <w:rFonts w:ascii="SimHei" w:hAnsi="SimHei" w:eastAsia="SimHei" w:cs="SimHei"/>
                <w:sz w:val="22"/>
                <w:szCs w:val="22"/>
                <w:spacing w:val="-16"/>
              </w:rPr>
              <w:t>终结；</w:t>
            </w:r>
          </w:p>
          <w:p>
            <w:pPr>
              <w:ind w:left="759"/>
              <w:spacing w:before="36" w:line="213" w:lineRule="auto"/>
              <w:rPr>
                <w:rFonts w:ascii="SimHei" w:hAnsi="SimHei" w:eastAsia="SimHei" w:cs="SimHei"/>
                <w:sz w:val="22"/>
                <w:szCs w:val="22"/>
              </w:rPr>
            </w:pPr>
            <w:r>
              <w:rPr>
                <w:rFonts w:ascii="SimHei" w:hAnsi="SimHei" w:eastAsia="SimHei" w:cs="SimHei"/>
                <w:sz w:val="22"/>
                <w:szCs w:val="22"/>
                <w:spacing w:val="-16"/>
              </w:rPr>
              <w:t>(二)经资格审查，没有符合资格的意向投</w:t>
            </w:r>
            <w:r>
              <w:rPr>
                <w:rFonts w:ascii="SimHei" w:hAnsi="SimHei" w:eastAsia="SimHei" w:cs="SimHei"/>
                <w:sz w:val="22"/>
                <w:szCs w:val="22"/>
                <w:spacing w:val="-17"/>
              </w:rPr>
              <w:t>资人，交易活动终结；</w:t>
            </w:r>
          </w:p>
          <w:p>
            <w:pPr>
              <w:ind w:left="159" w:right="141" w:firstLine="600"/>
              <w:spacing w:before="46" w:line="224" w:lineRule="auto"/>
              <w:rPr>
                <w:rFonts w:ascii="SimHei" w:hAnsi="SimHei" w:eastAsia="SimHei" w:cs="SimHei"/>
                <w:sz w:val="22"/>
                <w:szCs w:val="22"/>
              </w:rPr>
            </w:pPr>
            <w:r>
              <w:rPr>
                <w:rFonts w:ascii="SimHei" w:hAnsi="SimHei" w:eastAsia="SimHei" w:cs="SimHei"/>
                <w:sz w:val="22"/>
                <w:szCs w:val="22"/>
                <w:spacing w:val="-17"/>
              </w:rPr>
              <w:t>(三)在交易过程中出现不可抗力或其他因素，导致交易</w:t>
            </w:r>
            <w:r>
              <w:rPr>
                <w:rFonts w:ascii="SimHei" w:hAnsi="SimHei" w:eastAsia="SimHei" w:cs="SimHei"/>
                <w:sz w:val="22"/>
                <w:szCs w:val="22"/>
                <w:spacing w:val="-18"/>
              </w:rPr>
              <w:t>活动无法正常进行的，根据情况交易活动</w:t>
            </w:r>
            <w:r>
              <w:rPr>
                <w:rFonts w:ascii="SimHei" w:hAnsi="SimHei" w:eastAsia="SimHei" w:cs="SimHei"/>
                <w:sz w:val="22"/>
                <w:szCs w:val="22"/>
              </w:rPr>
              <w:t xml:space="preserve"> </w:t>
            </w:r>
            <w:r>
              <w:rPr>
                <w:rFonts w:ascii="SimHei" w:hAnsi="SimHei" w:eastAsia="SimHei" w:cs="SimHei"/>
                <w:sz w:val="22"/>
                <w:szCs w:val="22"/>
                <w:spacing w:val="-21"/>
              </w:rPr>
              <w:t>予以中止或终结；</w:t>
            </w:r>
          </w:p>
          <w:p>
            <w:pPr>
              <w:ind w:left="159" w:right="325" w:firstLine="600"/>
              <w:spacing w:before="35" w:line="237" w:lineRule="auto"/>
              <w:rPr>
                <w:rFonts w:ascii="SimHei" w:hAnsi="SimHei" w:eastAsia="SimHei" w:cs="SimHei"/>
                <w:sz w:val="22"/>
                <w:szCs w:val="22"/>
              </w:rPr>
            </w:pPr>
            <w:r>
              <w:rPr>
                <w:rFonts w:ascii="SimHei" w:hAnsi="SimHei" w:eastAsia="SimHei" w:cs="SimHei"/>
                <w:sz w:val="22"/>
                <w:szCs w:val="22"/>
                <w:spacing w:val="-17"/>
              </w:rPr>
              <w:t>(四)项目中止的，当导致交易活动无法正常进行的因素消失后，交易活动在调整时间后继续进</w:t>
            </w:r>
            <w:r>
              <w:rPr>
                <w:rFonts w:ascii="SimHei" w:hAnsi="SimHei" w:eastAsia="SimHei" w:cs="SimHei"/>
                <w:sz w:val="22"/>
                <w:szCs w:val="22"/>
                <w:spacing w:val="1"/>
              </w:rPr>
              <w:t xml:space="preserve"> </w:t>
            </w:r>
            <w:r>
              <w:rPr>
                <w:rFonts w:ascii="SimHei" w:hAnsi="SimHei" w:eastAsia="SimHei" w:cs="SimHei"/>
                <w:sz w:val="22"/>
                <w:szCs w:val="22"/>
                <w:spacing w:val="-10"/>
              </w:rPr>
              <w:t>行。</w:t>
            </w:r>
          </w:p>
          <w:p>
            <w:pPr>
              <w:ind w:left="3303"/>
              <w:spacing w:before="161" w:line="221" w:lineRule="auto"/>
              <w:rPr>
                <w:rFonts w:ascii="SimHei" w:hAnsi="SimHei" w:eastAsia="SimHei" w:cs="SimHei"/>
                <w:sz w:val="22"/>
                <w:szCs w:val="22"/>
              </w:rPr>
            </w:pPr>
            <w:r>
              <w:rPr>
                <w:rFonts w:ascii="SimHei" w:hAnsi="SimHei" w:eastAsia="SimHei" w:cs="SimHei"/>
                <w:sz w:val="22"/>
                <w:szCs w:val="22"/>
                <w:b/>
                <w:bCs/>
                <w:spacing w:val="-8"/>
              </w:rPr>
              <w:t>四、关于通知(复函)事项的说明</w:t>
            </w:r>
          </w:p>
          <w:p>
            <w:pPr>
              <w:ind w:left="642"/>
              <w:spacing w:before="187" w:line="221" w:lineRule="auto"/>
              <w:rPr>
                <w:rFonts w:ascii="SimHei" w:hAnsi="SimHei" w:eastAsia="SimHei" w:cs="SimHei"/>
                <w:sz w:val="22"/>
                <w:szCs w:val="22"/>
              </w:rPr>
            </w:pPr>
            <w:r>
              <w:rPr>
                <w:rFonts w:ascii="SimHei" w:hAnsi="SimHei" w:eastAsia="SimHei" w:cs="SimHei"/>
                <w:sz w:val="22"/>
                <w:szCs w:val="22"/>
                <w:b/>
                <w:bCs/>
                <w:u w:val="single" w:color="auto"/>
                <w:spacing w:val="-19"/>
              </w:rPr>
              <w:t>第十三条交易中心可按以下任意一种方式向意向投资人发送有关事项通知：</w:t>
            </w:r>
          </w:p>
          <w:p>
            <w:pPr>
              <w:ind w:left="763"/>
              <w:spacing w:before="7" w:line="221" w:lineRule="auto"/>
              <w:rPr>
                <w:rFonts w:ascii="SimHei" w:hAnsi="SimHei" w:eastAsia="SimHei" w:cs="SimHei"/>
                <w:sz w:val="22"/>
                <w:szCs w:val="22"/>
              </w:rPr>
            </w:pPr>
            <w:r>
              <w:rPr>
                <w:rFonts w:ascii="SimHei" w:hAnsi="SimHei" w:eastAsia="SimHei" w:cs="SimHei"/>
                <w:sz w:val="22"/>
                <w:szCs w:val="22"/>
                <w:b/>
                <w:bCs/>
                <w:spacing w:val="-8"/>
              </w:rPr>
              <w:t>(一)通过交易中心官网发布有关事项通知(复函);</w:t>
            </w:r>
          </w:p>
          <w:p>
            <w:pPr>
              <w:ind w:left="762"/>
              <w:spacing w:before="17" w:line="213" w:lineRule="auto"/>
              <w:rPr>
                <w:rFonts w:ascii="SimHei" w:hAnsi="SimHei" w:eastAsia="SimHei" w:cs="SimHei"/>
                <w:sz w:val="22"/>
                <w:szCs w:val="22"/>
              </w:rPr>
            </w:pPr>
            <w:r>
              <w:rPr>
                <w:rFonts w:ascii="SimHei" w:hAnsi="SimHei" w:eastAsia="SimHei" w:cs="SimHei"/>
                <w:sz w:val="22"/>
                <w:szCs w:val="22"/>
                <w:b/>
                <w:bCs/>
                <w:spacing w:val="-19"/>
              </w:rPr>
              <w:t>(二)通过交易中心平台向意向投资人的网上注册账户发送系统通</w:t>
            </w:r>
            <w:r>
              <w:rPr>
                <w:rFonts w:ascii="SimHei" w:hAnsi="SimHei" w:eastAsia="SimHei" w:cs="SimHei"/>
                <w:sz w:val="22"/>
                <w:szCs w:val="22"/>
                <w:b/>
                <w:bCs/>
                <w:spacing w:val="-20"/>
              </w:rPr>
              <w:t>知；</w:t>
            </w:r>
          </w:p>
          <w:p>
            <w:pPr>
              <w:ind w:left="162" w:right="139" w:firstLine="600"/>
              <w:spacing w:before="37" w:line="228" w:lineRule="auto"/>
              <w:rPr>
                <w:rFonts w:ascii="SimHei" w:hAnsi="SimHei" w:eastAsia="SimHei" w:cs="SimHei"/>
                <w:sz w:val="22"/>
                <w:szCs w:val="22"/>
              </w:rPr>
            </w:pPr>
            <w:r>
              <w:rPr>
                <w:rFonts w:ascii="SimHei" w:hAnsi="SimHei" w:eastAsia="SimHei" w:cs="SimHei"/>
                <w:sz w:val="22"/>
                <w:szCs w:val="22"/>
                <w:b/>
                <w:bCs/>
                <w:spacing w:val="-20"/>
              </w:rPr>
              <w:t>(三)通过项目公告披露的交易中心项目报名联系人的手机号码向意向投资人网上注册账户或意向</w:t>
            </w:r>
            <w:r>
              <w:rPr>
                <w:rFonts w:ascii="SimHei" w:hAnsi="SimHei" w:eastAsia="SimHei" w:cs="SimHei"/>
                <w:sz w:val="22"/>
                <w:szCs w:val="22"/>
                <w:spacing w:val="11"/>
              </w:rPr>
              <w:t xml:space="preserve"> </w:t>
            </w:r>
            <w:r>
              <w:rPr>
                <w:rFonts w:ascii="SimHei" w:hAnsi="SimHei" w:eastAsia="SimHei" w:cs="SimHei"/>
                <w:sz w:val="22"/>
                <w:szCs w:val="22"/>
                <w:b/>
                <w:bCs/>
                <w:spacing w:val="-22"/>
              </w:rPr>
              <w:t>投资人提交的报名材料中载明的联系人手机号码发送手机短信；</w:t>
            </w:r>
          </w:p>
          <w:p>
            <w:pPr>
              <w:ind w:left="162" w:right="139" w:firstLine="600"/>
              <w:spacing w:before="45" w:line="220" w:lineRule="auto"/>
              <w:rPr>
                <w:rFonts w:ascii="SimHei" w:hAnsi="SimHei" w:eastAsia="SimHei" w:cs="SimHei"/>
                <w:sz w:val="22"/>
                <w:szCs w:val="22"/>
              </w:rPr>
            </w:pPr>
            <w:r>
              <w:rPr>
                <w:rFonts w:ascii="SimHei" w:hAnsi="SimHei" w:eastAsia="SimHei" w:cs="SimHei"/>
                <w:sz w:val="22"/>
                <w:szCs w:val="22"/>
                <w:b/>
                <w:bCs/>
                <w:spacing w:val="-20"/>
              </w:rPr>
              <w:t>(四)通过项目公告披露的交易中心报名联系人的邮箱向意向投资人的网上注册账户的邮箱或意向</w:t>
            </w:r>
            <w:r>
              <w:rPr>
                <w:rFonts w:ascii="SimHei" w:hAnsi="SimHei" w:eastAsia="SimHei" w:cs="SimHei"/>
                <w:sz w:val="22"/>
                <w:szCs w:val="22"/>
                <w:spacing w:val="11"/>
              </w:rPr>
              <w:t xml:space="preserve"> </w:t>
            </w:r>
            <w:r>
              <w:rPr>
                <w:rFonts w:ascii="SimHei" w:hAnsi="SimHei" w:eastAsia="SimHei" w:cs="SimHei"/>
                <w:sz w:val="22"/>
                <w:szCs w:val="22"/>
                <w:b/>
                <w:bCs/>
                <w:spacing w:val="-22"/>
              </w:rPr>
              <w:t>投资人提交的报名材料中载明的联系人邮箱发</w:t>
            </w:r>
            <w:r>
              <w:rPr>
                <w:rFonts w:ascii="SimHei" w:hAnsi="SimHei" w:eastAsia="SimHei" w:cs="SimHei"/>
                <w:sz w:val="22"/>
                <w:szCs w:val="22"/>
                <w:b/>
                <w:bCs/>
                <w:spacing w:val="-23"/>
              </w:rPr>
              <w:t>送邮件；</w:t>
            </w:r>
          </w:p>
          <w:p>
            <w:pPr>
              <w:pStyle w:val="TableText"/>
              <w:ind w:left="162" w:right="144" w:firstLine="599"/>
              <w:spacing w:before="46" w:line="232" w:lineRule="auto"/>
              <w:rPr>
                <w:rFonts w:ascii="SimHei" w:hAnsi="SimHei" w:eastAsia="SimHei" w:cs="SimHei"/>
              </w:rPr>
            </w:pPr>
            <w:r>
              <w:rPr>
                <w:rFonts w:ascii="SimHei" w:hAnsi="SimHei" w:eastAsia="SimHei" w:cs="SimHei"/>
                <w:b/>
                <w:bCs/>
                <w:spacing w:val="-20"/>
              </w:rPr>
              <w:t>(五)按意向投资人网上注册账户的联系地址或意向投资人提交的报名材料中载明的联系地址以邮</w:t>
            </w:r>
            <w:r>
              <w:rPr>
                <w:rFonts w:ascii="SimHei" w:hAnsi="SimHei" w:eastAsia="SimHei" w:cs="SimHei"/>
                <w:spacing w:val="6"/>
              </w:rPr>
              <w:t xml:space="preserve"> </w:t>
            </w:r>
            <w:r>
              <w:rPr>
                <w:rFonts w:ascii="SimHei" w:hAnsi="SimHei" w:eastAsia="SimHei" w:cs="SimHei"/>
                <w:b/>
                <w:bCs/>
                <w:spacing w:val="-12"/>
              </w:rPr>
              <w:t>寄方式发送(包括但不限于</w:t>
            </w:r>
            <w:r>
              <w:rPr>
                <w:rFonts w:ascii="Arial" w:hAnsi="Arial" w:eastAsia="Arial" w:cs="Arial"/>
                <w:b/>
                <w:bCs/>
                <w:spacing w:val="-12"/>
              </w:rPr>
              <w:t>EMS</w:t>
            </w:r>
            <w:r>
              <w:rPr>
                <w:b/>
                <w:bCs/>
                <w:spacing w:val="-12"/>
              </w:rPr>
              <w:t>、</w:t>
            </w:r>
            <w:r>
              <w:rPr>
                <w:rFonts w:ascii="SimHei" w:hAnsi="SimHei" w:eastAsia="SimHei" w:cs="SimHei"/>
                <w:b/>
                <w:bCs/>
                <w:spacing w:val="-12"/>
              </w:rPr>
              <w:t>顺丰等快递邮寄方式);</w:t>
            </w:r>
          </w:p>
          <w:p>
            <w:pPr>
              <w:ind w:left="762"/>
              <w:spacing w:before="27" w:line="221" w:lineRule="auto"/>
              <w:rPr>
                <w:rFonts w:ascii="SimHei" w:hAnsi="SimHei" w:eastAsia="SimHei" w:cs="SimHei"/>
                <w:sz w:val="22"/>
                <w:szCs w:val="22"/>
              </w:rPr>
            </w:pPr>
            <w:r>
              <w:rPr>
                <w:rFonts w:ascii="SimHei" w:hAnsi="SimHei" w:eastAsia="SimHei" w:cs="SimHei"/>
                <w:sz w:val="22"/>
                <w:szCs w:val="22"/>
                <w:b/>
                <w:bCs/>
                <w:spacing w:val="-16"/>
              </w:rPr>
              <w:t>(六)法律法规规定的其他方式。</w:t>
            </w:r>
          </w:p>
          <w:p>
            <w:pPr>
              <w:ind w:left="162" w:firstLine="479"/>
              <w:spacing w:before="48" w:line="241" w:lineRule="auto"/>
              <w:rPr>
                <w:rFonts w:ascii="SimHei" w:hAnsi="SimHei" w:eastAsia="SimHei" w:cs="SimHei"/>
                <w:sz w:val="19"/>
                <w:szCs w:val="19"/>
              </w:rPr>
            </w:pPr>
            <w:r>
              <w:rPr>
                <w:rFonts w:ascii="SimHei" w:hAnsi="SimHei" w:eastAsia="SimHei" w:cs="SimHei"/>
                <w:sz w:val="19"/>
                <w:szCs w:val="19"/>
                <w:b/>
                <w:bCs/>
                <w:u w:val="single" w:color="auto"/>
                <w:spacing w:val="9"/>
              </w:rPr>
              <w:t>网站信息或手机短信或邮件一旦发送成功即视为通知(复函)已经送达；以</w:t>
            </w:r>
            <w:r>
              <w:rPr>
                <w:rFonts w:ascii="SimHei" w:hAnsi="SimHei" w:eastAsia="SimHei" w:cs="SimHei"/>
                <w:sz w:val="19"/>
                <w:szCs w:val="19"/>
                <w:b/>
                <w:bCs/>
                <w:u w:val="single" w:color="auto"/>
                <w:spacing w:val="8"/>
              </w:rPr>
              <w:t>邮寄方式进行的通知，</w:t>
            </w:r>
            <w:r>
              <w:rPr>
                <w:rFonts w:ascii="SimHei" w:hAnsi="SimHei" w:eastAsia="SimHei" w:cs="SimHei"/>
                <w:sz w:val="19"/>
                <w:szCs w:val="19"/>
                <w:u w:val="single" w:color="auto"/>
                <w:spacing w:val="43"/>
              </w:rPr>
              <w:t xml:space="preserve"> </w:t>
            </w:r>
            <w:r>
              <w:rPr>
                <w:rFonts w:ascii="SimHei" w:hAnsi="SimHei" w:eastAsia="SimHei" w:cs="SimHei"/>
                <w:sz w:val="19"/>
                <w:szCs w:val="19"/>
              </w:rPr>
              <w:t xml:space="preserve">   </w:t>
            </w:r>
            <w:r>
              <w:rPr>
                <w:rFonts w:ascii="SimHei" w:hAnsi="SimHei" w:eastAsia="SimHei" w:cs="SimHei"/>
                <w:sz w:val="19"/>
                <w:szCs w:val="19"/>
                <w:b/>
                <w:bCs/>
                <w:u w:val="single" w:color="auto"/>
                <w:spacing w:val="14"/>
              </w:rPr>
              <w:t>应采用邮政挂号快件或特快专递(</w:t>
            </w:r>
            <w:r>
              <w:rPr>
                <w:rFonts w:ascii="SimHei" w:hAnsi="SimHei" w:eastAsia="SimHei" w:cs="SimHei"/>
                <w:sz w:val="19"/>
                <w:szCs w:val="19"/>
                <w:b/>
                <w:bCs/>
                <w:u w:val="single" w:color="auto"/>
              </w:rPr>
              <w:t>EMS</w:t>
            </w:r>
            <w:r>
              <w:rPr>
                <w:rFonts w:ascii="SimHei" w:hAnsi="SimHei" w:eastAsia="SimHei" w:cs="SimHei"/>
                <w:sz w:val="19"/>
                <w:szCs w:val="19"/>
                <w:b/>
                <w:bCs/>
                <w:u w:val="single" w:color="auto"/>
                <w:spacing w:val="14"/>
              </w:rPr>
              <w:t>.顺丰等)的方式进行，在被通知的意向投资人签收后即为已经送</w:t>
            </w:r>
            <w:r>
              <w:rPr>
                <w:rFonts w:ascii="SimHei" w:hAnsi="SimHei" w:eastAsia="SimHei" w:cs="SimHei"/>
                <w:sz w:val="19"/>
                <w:szCs w:val="19"/>
                <w:spacing w:val="5"/>
              </w:rPr>
              <w:t xml:space="preserve">   </w:t>
            </w:r>
            <w:r>
              <w:rPr>
                <w:rFonts w:ascii="SimHei" w:hAnsi="SimHei" w:eastAsia="SimHei" w:cs="SimHei"/>
                <w:sz w:val="19"/>
                <w:szCs w:val="19"/>
                <w:b/>
                <w:bCs/>
                <w:spacing w:val="9"/>
              </w:rPr>
              <w:t>达，若被通知的意向投资人拒绝签收或退回或无法投递的，在邮政挂</w:t>
            </w:r>
            <w:r>
              <w:rPr>
                <w:rFonts w:ascii="SimHei" w:hAnsi="SimHei" w:eastAsia="SimHei" w:cs="SimHei"/>
                <w:sz w:val="19"/>
                <w:szCs w:val="19"/>
                <w:b/>
                <w:bCs/>
                <w:spacing w:val="8"/>
              </w:rPr>
              <w:t>号快件或特快专递系统显示被通知的</w:t>
            </w:r>
          </w:p>
        </w:tc>
      </w:tr>
      <w:tr>
        <w:trPr>
          <w:trHeight w:val="284" w:hRule="atLeast"/>
        </w:trPr>
        <w:tc>
          <w:tcPr>
            <w:tcW w:w="9404" w:type="dxa"/>
            <w:vAlign w:val="top"/>
            <w:tcBorders>
              <w:right w:val="nil"/>
              <w:left w:val="single" w:color="000000" w:sz="8" w:space="0"/>
            </w:tcBorders>
          </w:tcPr>
          <w:p>
            <w:pPr>
              <w:ind w:right="9"/>
              <w:spacing w:before="99" w:line="170" w:lineRule="auto"/>
              <w:jc w:val="right"/>
              <w:rPr>
                <w:rFonts w:ascii="SimHei" w:hAnsi="SimHei" w:eastAsia="SimHei" w:cs="SimHei"/>
                <w:sz w:val="19"/>
                <w:szCs w:val="19"/>
              </w:rPr>
            </w:pPr>
            <w:r>
              <w:rPr>
                <w:rFonts w:ascii="SimHei" w:hAnsi="SimHei" w:eastAsia="SimHei" w:cs="SimHei"/>
                <w:sz w:val="19"/>
                <w:szCs w:val="19"/>
                <w:b/>
                <w:bCs/>
                <w:spacing w:val="9"/>
              </w:rPr>
              <w:t>意向投资人拒绝签收或退回或投递异常记录时</w:t>
            </w:r>
            <w:r>
              <w:rPr>
                <w:rFonts w:ascii="SimHei" w:hAnsi="SimHei" w:eastAsia="SimHei" w:cs="SimHei"/>
                <w:sz w:val="19"/>
                <w:szCs w:val="19"/>
                <w:b/>
                <w:bCs/>
                <w:spacing w:val="8"/>
              </w:rPr>
              <w:t>即视为已经送达被通知人：如采用专人送递在交付后即被视</w:t>
            </w:r>
          </w:p>
        </w:tc>
      </w:tr>
      <w:tr>
        <w:trPr>
          <w:trHeight w:val="266" w:hRule="atLeast"/>
        </w:trPr>
        <w:tc>
          <w:tcPr>
            <w:tcW w:w="9404" w:type="dxa"/>
            <w:vAlign w:val="top"/>
            <w:tcBorders>
              <w:right w:val="nil"/>
              <w:left w:val="single" w:color="000000" w:sz="8" w:space="0"/>
            </w:tcBorders>
          </w:tcPr>
          <w:p>
            <w:pPr>
              <w:ind w:right="8"/>
              <w:spacing w:before="81" w:line="170" w:lineRule="auto"/>
              <w:jc w:val="right"/>
              <w:rPr>
                <w:rFonts w:ascii="SimHei" w:hAnsi="SimHei" w:eastAsia="SimHei" w:cs="SimHei"/>
                <w:sz w:val="19"/>
                <w:szCs w:val="19"/>
              </w:rPr>
            </w:pPr>
            <w:r>
              <w:rPr>
                <w:rFonts w:ascii="SimHei" w:hAnsi="SimHei" w:eastAsia="SimHei" w:cs="SimHei"/>
                <w:sz w:val="19"/>
                <w:szCs w:val="19"/>
                <w:b/>
                <w:bCs/>
                <w:spacing w:val="17"/>
              </w:rPr>
              <w:t>为送达，通知(复函)送达即表明意向投资人已知悉通知(复函)送达内容。</w:t>
            </w:r>
            <w:r>
              <w:rPr>
                <w:rFonts w:ascii="SimHei" w:hAnsi="SimHei" w:eastAsia="SimHei" w:cs="SimHei"/>
                <w:sz w:val="19"/>
                <w:szCs w:val="19"/>
                <w:b/>
                <w:bCs/>
                <w:spacing w:val="16"/>
              </w:rPr>
              <w:t>若因意向投资人网上注册账</w:t>
            </w:r>
          </w:p>
        </w:tc>
      </w:tr>
      <w:tr>
        <w:trPr>
          <w:trHeight w:val="2305" w:hRule="atLeast"/>
        </w:trPr>
        <w:tc>
          <w:tcPr>
            <w:tcW w:w="9404" w:type="dxa"/>
            <w:vAlign w:val="top"/>
            <w:tcBorders>
              <w:bottom w:val="nil"/>
              <w:right w:val="nil"/>
              <w:left w:val="single" w:color="000000" w:sz="8" w:space="0"/>
            </w:tcBorders>
          </w:tcPr>
          <w:p>
            <w:pPr>
              <w:ind w:left="162" w:right="217"/>
              <w:spacing w:before="98" w:line="261" w:lineRule="auto"/>
              <w:rPr>
                <w:rFonts w:ascii="SimHei" w:hAnsi="SimHei" w:eastAsia="SimHei" w:cs="SimHei"/>
                <w:sz w:val="19"/>
                <w:szCs w:val="19"/>
              </w:rPr>
            </w:pPr>
            <w:r>
              <w:rPr>
                <w:rFonts w:ascii="SimHei" w:hAnsi="SimHei" w:eastAsia="SimHei" w:cs="SimHei"/>
                <w:sz w:val="19"/>
                <w:szCs w:val="19"/>
                <w:b/>
                <w:bCs/>
                <w:u w:val="single" w:color="auto"/>
                <w:spacing w:val="8"/>
              </w:rPr>
              <w:t>户或提交的报名材料中载明的联系人手机号码、邮箱有误或未及时查看网站信息或手机短信或邮件或信</w:t>
            </w:r>
            <w:r>
              <w:rPr>
                <w:rFonts w:ascii="SimHei" w:hAnsi="SimHei" w:eastAsia="SimHei" w:cs="SimHei"/>
                <w:sz w:val="19"/>
                <w:szCs w:val="19"/>
                <w:spacing w:val="13"/>
              </w:rPr>
              <w:t xml:space="preserve"> </w:t>
            </w:r>
            <w:r>
              <w:rPr>
                <w:rFonts w:ascii="SimHei" w:hAnsi="SimHei" w:eastAsia="SimHei" w:cs="SimHei"/>
                <w:sz w:val="19"/>
                <w:szCs w:val="19"/>
                <w:b/>
                <w:bCs/>
                <w:u w:val="single" w:color="auto"/>
                <w:spacing w:val="4"/>
              </w:rPr>
              <w:t>件，造成其无法及时参与交易或无法交割的，由意向投资人自行</w:t>
            </w:r>
            <w:r>
              <w:rPr>
                <w:rFonts w:ascii="SimHei" w:hAnsi="SimHei" w:eastAsia="SimHei" w:cs="SimHei"/>
                <w:sz w:val="19"/>
                <w:szCs w:val="19"/>
                <w:b/>
                <w:bCs/>
                <w:u w:val="single" w:color="auto"/>
                <w:spacing w:val="3"/>
              </w:rPr>
              <w:t>承担责任。</w:t>
            </w:r>
            <w:r>
              <w:rPr>
                <w:rFonts w:ascii="SimHei" w:hAnsi="SimHei" w:eastAsia="SimHei" w:cs="SimHei"/>
                <w:sz w:val="19"/>
                <w:szCs w:val="19"/>
                <w:u w:val="single" w:color="auto"/>
              </w:rPr>
              <w:t xml:space="preserve">  </w:t>
            </w:r>
          </w:p>
          <w:p>
            <w:pPr>
              <w:ind w:left="162" w:right="9" w:firstLine="479"/>
              <w:spacing w:before="1" w:line="236" w:lineRule="auto"/>
              <w:jc w:val="both"/>
              <w:rPr>
                <w:rFonts w:ascii="SimHei" w:hAnsi="SimHei" w:eastAsia="SimHei" w:cs="SimHei"/>
                <w:sz w:val="22"/>
                <w:szCs w:val="22"/>
              </w:rPr>
            </w:pPr>
            <w:r>
              <w:rPr>
                <w:rFonts w:ascii="SimHei" w:hAnsi="SimHei" w:eastAsia="SimHei" w:cs="SimHei"/>
                <w:sz w:val="22"/>
                <w:szCs w:val="22"/>
                <w:b/>
                <w:bCs/>
                <w:spacing w:val="-20"/>
              </w:rPr>
              <w:t>第十四条意向投资人对于交易中心在组织项目竞</w:t>
            </w:r>
            <w:r>
              <w:rPr>
                <w:rFonts w:ascii="SimHei" w:hAnsi="SimHei" w:eastAsia="SimHei" w:cs="SimHei"/>
                <w:sz w:val="22"/>
                <w:szCs w:val="22"/>
                <w:b/>
                <w:bCs/>
                <w:spacing w:val="-21"/>
              </w:rPr>
              <w:t>价、交易过程中任何发出且要求回复的函件、通知</w:t>
            </w:r>
            <w:r>
              <w:rPr>
                <w:rFonts w:ascii="SimHei" w:hAnsi="SimHei" w:eastAsia="SimHei" w:cs="SimHei"/>
                <w:sz w:val="22"/>
                <w:szCs w:val="22"/>
              </w:rPr>
              <w:t xml:space="preserve">  </w:t>
            </w:r>
            <w:r>
              <w:rPr>
                <w:rFonts w:ascii="SimHei" w:hAnsi="SimHei" w:eastAsia="SimHei" w:cs="SimHei"/>
                <w:sz w:val="22"/>
                <w:szCs w:val="22"/>
                <w:b/>
                <w:bCs/>
                <w:spacing w:val="-23"/>
              </w:rPr>
              <w:t>等文件应</w:t>
            </w:r>
            <w:r>
              <w:rPr>
                <w:rFonts w:ascii="SimHei" w:hAnsi="SimHei" w:eastAsia="SimHei" w:cs="SimHei"/>
                <w:sz w:val="22"/>
                <w:szCs w:val="22"/>
                <w:b/>
                <w:bCs/>
                <w:spacing w:val="-22"/>
              </w:rPr>
              <w:t>在送达后应及时或根据上述函件、通知等文件要求的时限予以回复，不予回复或逾期回复的，</w:t>
            </w:r>
            <w:r>
              <w:rPr>
                <w:rFonts w:ascii="SimHei" w:hAnsi="SimHei" w:eastAsia="SimHei" w:cs="SimHei"/>
                <w:sz w:val="22"/>
                <w:szCs w:val="22"/>
                <w:b/>
                <w:bCs/>
                <w:spacing w:val="-18"/>
              </w:rPr>
              <w:t>视</w:t>
            </w:r>
            <w:r>
              <w:rPr>
                <w:rFonts w:ascii="SimHei" w:hAnsi="SimHei" w:eastAsia="SimHei" w:cs="SimHei"/>
                <w:sz w:val="22"/>
                <w:szCs w:val="22"/>
                <w:spacing w:val="6"/>
              </w:rPr>
              <w:t xml:space="preserve"> </w:t>
            </w:r>
            <w:r>
              <w:rPr>
                <w:rFonts w:ascii="SimHei" w:hAnsi="SimHei" w:eastAsia="SimHei" w:cs="SimHei"/>
                <w:sz w:val="22"/>
                <w:szCs w:val="22"/>
                <w:b/>
                <w:bCs/>
                <w:spacing w:val="-22"/>
              </w:rPr>
              <w:t>为意向投资人对交易中心发出的函件、通知等文件的内容及所涉相</w:t>
            </w:r>
            <w:r>
              <w:rPr>
                <w:rFonts w:ascii="SimHei" w:hAnsi="SimHei" w:eastAsia="SimHei" w:cs="SimHei"/>
                <w:sz w:val="22"/>
                <w:szCs w:val="22"/>
                <w:b/>
                <w:bCs/>
                <w:spacing w:val="-23"/>
              </w:rPr>
              <w:t>关事项表示同意。</w:t>
            </w:r>
          </w:p>
          <w:p>
            <w:pPr>
              <w:ind w:left="3443"/>
              <w:spacing w:before="157" w:line="221" w:lineRule="auto"/>
              <w:rPr>
                <w:rFonts w:ascii="SimHei" w:hAnsi="SimHei" w:eastAsia="SimHei" w:cs="SimHei"/>
                <w:sz w:val="22"/>
                <w:szCs w:val="22"/>
              </w:rPr>
            </w:pPr>
            <w:r>
              <w:rPr>
                <w:rFonts w:ascii="SimHei" w:hAnsi="SimHei" w:eastAsia="SimHei" w:cs="SimHei"/>
                <w:sz w:val="22"/>
                <w:szCs w:val="22"/>
                <w:b/>
                <w:bCs/>
                <w:spacing w:val="-21"/>
              </w:rPr>
              <w:t>五、关于项目公告修改和补充的说明</w:t>
            </w:r>
          </w:p>
        </w:tc>
      </w:tr>
    </w:tbl>
    <w:p>
      <w:pPr>
        <w:pStyle w:val="BodyText"/>
        <w:rPr/>
      </w:pPr>
      <w:r/>
    </w:p>
    <w:p>
      <w:pPr>
        <w:sectPr>
          <w:headerReference w:type="default" r:id="rId17"/>
          <w:footerReference w:type="default" r:id="rId18"/>
          <w:pgSz w:w="11910" w:h="16840"/>
          <w:pgMar w:top="500" w:right="533" w:bottom="467" w:left="449" w:header="238" w:footer="262" w:gutter="0"/>
        </w:sectPr>
        <w:rPr/>
      </w:pPr>
    </w:p>
    <w:p>
      <w:pPr>
        <w:spacing w:before="58"/>
        <w:rPr/>
      </w:pPr>
      <w:r/>
    </w:p>
    <w:p>
      <w:pPr>
        <w:spacing w:before="58"/>
        <w:rPr/>
      </w:pPr>
      <w:r/>
    </w:p>
    <w:tbl>
      <w:tblPr>
        <w:tblStyle w:val="TableNormal"/>
        <w:tblW w:w="9409" w:type="dxa"/>
        <w:tblInd w:w="690" w:type="dxa"/>
        <w:tblLayout w:type="fixed"/>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
      <w:tblGrid>
        <w:gridCol w:w="9409"/>
      </w:tblGrid>
      <w:tr>
        <w:trPr>
          <w:trHeight w:val="5451" w:hRule="atLeast"/>
        </w:trPr>
        <w:tc>
          <w:tcPr>
            <w:tcW w:w="9409" w:type="dxa"/>
            <w:vAlign w:val="top"/>
            <w:tcBorders>
              <w:left w:val="single" w:color="000000" w:sz="8" w:space="0"/>
              <w:bottom w:val="single" w:color="000000" w:sz="4" w:space="0"/>
            </w:tcBorders>
          </w:tcPr>
          <w:p>
            <w:pPr>
              <w:ind w:left="159" w:right="279" w:firstLine="479"/>
              <w:spacing w:before="48" w:line="237" w:lineRule="auto"/>
              <w:rPr>
                <w:rFonts w:ascii="SimHei" w:hAnsi="SimHei" w:eastAsia="SimHei" w:cs="SimHei"/>
                <w:sz w:val="22"/>
                <w:szCs w:val="22"/>
              </w:rPr>
            </w:pPr>
            <w:r>
              <w:rPr>
                <w:rFonts w:ascii="SimHei" w:hAnsi="SimHei" w:eastAsia="SimHei" w:cs="SimHei"/>
                <w:sz w:val="22"/>
                <w:szCs w:val="22"/>
                <w:spacing w:val="-18"/>
              </w:rPr>
              <w:t>第十五条在报名截止时间前，交易中心和委托方可以按规定以补充通知的方式修改</w:t>
            </w:r>
            <w:r>
              <w:rPr>
                <w:rFonts w:ascii="SimHei" w:hAnsi="SimHei" w:eastAsia="SimHei" w:cs="SimHei"/>
                <w:sz w:val="22"/>
                <w:szCs w:val="22"/>
                <w:spacing w:val="-19"/>
              </w:rPr>
              <w:t>项目公告的内</w:t>
            </w:r>
            <w:r>
              <w:rPr>
                <w:rFonts w:ascii="SimHei" w:hAnsi="SimHei" w:eastAsia="SimHei" w:cs="SimHei"/>
                <w:sz w:val="22"/>
                <w:szCs w:val="22"/>
              </w:rPr>
              <w:t xml:space="preserve"> </w:t>
            </w:r>
            <w:r>
              <w:rPr>
                <w:rFonts w:ascii="SimHei" w:hAnsi="SimHei" w:eastAsia="SimHei" w:cs="SimHei"/>
                <w:sz w:val="22"/>
                <w:szCs w:val="22"/>
                <w:spacing w:val="-15"/>
              </w:rPr>
              <w:t>容。</w:t>
            </w:r>
          </w:p>
          <w:p>
            <w:pPr>
              <w:ind w:left="159" w:right="14" w:firstLine="479"/>
              <w:spacing w:before="51" w:line="273" w:lineRule="auto"/>
              <w:rPr>
                <w:rFonts w:ascii="SimHei" w:hAnsi="SimHei" w:eastAsia="SimHei" w:cs="SimHei"/>
                <w:sz w:val="18"/>
                <w:szCs w:val="18"/>
              </w:rPr>
            </w:pPr>
            <w:r>
              <w:rPr>
                <w:rFonts w:ascii="SimHei" w:hAnsi="SimHei" w:eastAsia="SimHei" w:cs="SimHei"/>
                <w:sz w:val="18"/>
                <w:szCs w:val="18"/>
                <w:spacing w:val="19"/>
              </w:rPr>
              <w:t>第十六条</w:t>
            </w:r>
            <w:r>
              <w:rPr>
                <w:rFonts w:ascii="SimHei" w:hAnsi="SimHei" w:eastAsia="SimHei" w:cs="SimHei"/>
                <w:sz w:val="18"/>
                <w:szCs w:val="18"/>
                <w:spacing w:val="-53"/>
              </w:rPr>
              <w:t xml:space="preserve"> </w:t>
            </w:r>
            <w:r>
              <w:rPr>
                <w:rFonts w:ascii="SimHei" w:hAnsi="SimHei" w:eastAsia="SimHei" w:cs="SimHei"/>
                <w:sz w:val="18"/>
                <w:szCs w:val="18"/>
                <w:b/>
                <w:bCs/>
                <w:u w:val="single" w:color="auto"/>
                <w:spacing w:val="19"/>
              </w:rPr>
              <w:t>意向投资人如对项目公告有疑问，应以书面形式向交易中心或委托方提出</w:t>
            </w:r>
            <w:r>
              <w:rPr>
                <w:rFonts w:ascii="SimHei" w:hAnsi="SimHei" w:eastAsia="SimHei" w:cs="SimHei"/>
                <w:sz w:val="18"/>
                <w:szCs w:val="18"/>
                <w:b/>
                <w:bCs/>
                <w:u w:val="single" w:color="auto"/>
                <w:spacing w:val="18"/>
              </w:rPr>
              <w:t>，由</w:t>
            </w:r>
            <w:r>
              <w:rPr>
                <w:rFonts w:ascii="SimHei" w:hAnsi="SimHei" w:eastAsia="SimHei" w:cs="SimHei"/>
                <w:sz w:val="18"/>
                <w:szCs w:val="18"/>
                <w:spacing w:val="18"/>
              </w:rPr>
              <w:t>交</w:t>
            </w:r>
            <w:r>
              <w:rPr>
                <w:rFonts w:ascii="SimHei" w:hAnsi="SimHei" w:eastAsia="SimHei" w:cs="SimHei"/>
                <w:sz w:val="18"/>
                <w:szCs w:val="18"/>
                <w:spacing w:val="-44"/>
              </w:rPr>
              <w:t xml:space="preserve"> </w:t>
            </w:r>
            <w:r>
              <w:rPr>
                <w:rFonts w:ascii="SimHei" w:hAnsi="SimHei" w:eastAsia="SimHei" w:cs="SimHei"/>
                <w:sz w:val="18"/>
                <w:szCs w:val="18"/>
                <w:spacing w:val="18"/>
              </w:rPr>
              <w:t>易中心或</w:t>
            </w:r>
            <w:r>
              <w:rPr>
                <w:rFonts w:ascii="SimHei" w:hAnsi="SimHei" w:eastAsia="SimHei" w:cs="SimHei"/>
                <w:sz w:val="18"/>
                <w:szCs w:val="18"/>
              </w:rPr>
              <w:t xml:space="preserve">  </w:t>
            </w:r>
            <w:r>
              <w:rPr>
                <w:rFonts w:ascii="SimHei" w:hAnsi="SimHei" w:eastAsia="SimHei" w:cs="SimHei"/>
                <w:sz w:val="18"/>
                <w:szCs w:val="18"/>
                <w:spacing w:val="22"/>
              </w:rPr>
              <w:t>委托方在收到疑问后及时按照本须知关于通知(复函)事项的说明</w:t>
            </w:r>
            <w:r>
              <w:rPr>
                <w:rFonts w:ascii="SimHei" w:hAnsi="SimHei" w:eastAsia="SimHei" w:cs="SimHei"/>
                <w:sz w:val="18"/>
                <w:szCs w:val="18"/>
                <w:spacing w:val="21"/>
              </w:rPr>
              <w:t>的方式给予答复。</w:t>
            </w:r>
            <w:r>
              <w:rPr>
                <w:rFonts w:ascii="SimHei" w:hAnsi="SimHei" w:eastAsia="SimHei" w:cs="SimHei"/>
                <w:sz w:val="18"/>
                <w:szCs w:val="18"/>
                <w:spacing w:val="21"/>
              </w:rPr>
              <w:t xml:space="preserve"> </w:t>
            </w:r>
            <w:r>
              <w:rPr>
                <w:rFonts w:ascii="SimHei" w:hAnsi="SimHei" w:eastAsia="SimHei" w:cs="SimHei"/>
                <w:sz w:val="18"/>
                <w:szCs w:val="18"/>
                <w:b/>
                <w:bCs/>
                <w:u w:val="single" w:color="auto"/>
                <w:spacing w:val="21"/>
              </w:rPr>
              <w:t>意向投资人若有疑问</w:t>
            </w:r>
            <w:r>
              <w:rPr>
                <w:rFonts w:ascii="SimHei" w:hAnsi="SimHei" w:eastAsia="SimHei" w:cs="SimHei"/>
                <w:sz w:val="18"/>
                <w:szCs w:val="18"/>
              </w:rPr>
              <w:t xml:space="preserve"> </w:t>
            </w:r>
            <w:r>
              <w:rPr>
                <w:rFonts w:ascii="SimHei" w:hAnsi="SimHei" w:eastAsia="SimHei" w:cs="SimHei"/>
                <w:sz w:val="18"/>
                <w:szCs w:val="18"/>
                <w:b/>
                <w:bCs/>
                <w:u w:val="single" w:color="auto"/>
                <w:spacing w:val="21"/>
              </w:rPr>
              <w:t>应在项目报名截止时间前2个工作日提出，并在提出疑问的书面函件中预留联系方式(包括意向投资人名</w:t>
            </w:r>
            <w:r>
              <w:rPr>
                <w:rFonts w:ascii="SimHei" w:hAnsi="SimHei" w:eastAsia="SimHei" w:cs="SimHei"/>
                <w:sz w:val="18"/>
                <w:szCs w:val="18"/>
                <w:spacing w:val="4"/>
              </w:rPr>
              <w:t xml:space="preserve">  </w:t>
            </w:r>
            <w:r>
              <w:rPr>
                <w:rFonts w:ascii="SimHei" w:hAnsi="SimHei" w:eastAsia="SimHei" w:cs="SimHei"/>
                <w:sz w:val="18"/>
                <w:szCs w:val="18"/>
                <w:b/>
                <w:bCs/>
                <w:u w:val="single" w:color="auto"/>
                <w:spacing w:val="21"/>
              </w:rPr>
              <w:t>称、联系人、联系电话、邮箱和联系地址),否则不予答</w:t>
            </w:r>
            <w:r>
              <w:rPr>
                <w:rFonts w:ascii="SimHei" w:hAnsi="SimHei" w:eastAsia="SimHei" w:cs="SimHei"/>
                <w:sz w:val="18"/>
                <w:szCs w:val="18"/>
                <w:b/>
                <w:bCs/>
                <w:u w:val="single" w:color="auto"/>
                <w:spacing w:val="20"/>
              </w:rPr>
              <w:t>复。</w:t>
            </w:r>
            <w:r>
              <w:rPr>
                <w:rFonts w:ascii="SimHei" w:hAnsi="SimHei" w:eastAsia="SimHei" w:cs="SimHei"/>
                <w:sz w:val="18"/>
                <w:szCs w:val="18"/>
                <w:u w:val="single" w:color="auto"/>
              </w:rPr>
              <w:t xml:space="preserve">  </w:t>
            </w:r>
          </w:p>
          <w:p>
            <w:pPr>
              <w:ind w:left="3943"/>
              <w:spacing w:before="203" w:line="221" w:lineRule="auto"/>
              <w:rPr>
                <w:rFonts w:ascii="SimHei" w:hAnsi="SimHei" w:eastAsia="SimHei" w:cs="SimHei"/>
                <w:sz w:val="22"/>
                <w:szCs w:val="22"/>
              </w:rPr>
            </w:pPr>
            <w:r>
              <w:rPr>
                <w:rFonts w:ascii="SimHei" w:hAnsi="SimHei" w:eastAsia="SimHei" w:cs="SimHei"/>
                <w:sz w:val="22"/>
                <w:szCs w:val="22"/>
                <w:b/>
                <w:bCs/>
                <w:spacing w:val="-21"/>
              </w:rPr>
              <w:t>六、关于资格审核的说明</w:t>
            </w:r>
          </w:p>
          <w:p>
            <w:pPr>
              <w:ind w:left="159" w:right="5" w:firstLine="479"/>
              <w:spacing w:before="209" w:line="257" w:lineRule="auto"/>
              <w:rPr>
                <w:rFonts w:ascii="SimHei" w:hAnsi="SimHei" w:eastAsia="SimHei" w:cs="SimHei"/>
                <w:sz w:val="20"/>
                <w:szCs w:val="20"/>
              </w:rPr>
            </w:pPr>
            <w:r>
              <w:rPr>
                <w:rFonts w:ascii="SimHei" w:hAnsi="SimHei" w:eastAsia="SimHei" w:cs="SimHei"/>
                <w:sz w:val="20"/>
                <w:szCs w:val="20"/>
                <w:spacing w:val="1"/>
              </w:rPr>
              <w:t>第十七条交易中心或委托方对意向投资人是否符合资格条件(包括但不限于对意向投资人提交的交易</w:t>
            </w:r>
            <w:r>
              <w:rPr>
                <w:rFonts w:ascii="SimHei" w:hAnsi="SimHei" w:eastAsia="SimHei" w:cs="SimHei"/>
                <w:sz w:val="20"/>
                <w:szCs w:val="20"/>
                <w:spacing w:val="8"/>
              </w:rPr>
              <w:t xml:space="preserve"> </w:t>
            </w:r>
            <w:r>
              <w:rPr>
                <w:rFonts w:ascii="SimHei" w:hAnsi="SimHei" w:eastAsia="SimHei" w:cs="SimHei"/>
                <w:sz w:val="20"/>
                <w:szCs w:val="20"/>
                <w:spacing w:val="-2"/>
              </w:rPr>
              <w:t>保证金和报名材料)进行审核确认</w:t>
            </w:r>
            <w:r>
              <w:rPr>
                <w:rFonts w:ascii="SimHei" w:hAnsi="SimHei" w:eastAsia="SimHei" w:cs="SimHei"/>
                <w:sz w:val="20"/>
                <w:szCs w:val="20"/>
                <w:b/>
                <w:bCs/>
                <w:u w:val="single" w:color="auto"/>
                <w:spacing w:val="-2"/>
              </w:rPr>
              <w:t>，经审核确认合格的意向投资人才有资格参与竞价。交</w:t>
            </w:r>
            <w:r>
              <w:rPr>
                <w:rFonts w:ascii="SimHei" w:hAnsi="SimHei" w:eastAsia="SimHei" w:cs="SimHei"/>
                <w:sz w:val="20"/>
                <w:szCs w:val="20"/>
                <w:b/>
                <w:bCs/>
                <w:u w:val="single" w:color="auto"/>
                <w:spacing w:val="-3"/>
              </w:rPr>
              <w:t>易中心或委托方</w:t>
            </w:r>
            <w:r>
              <w:rPr>
                <w:rFonts w:ascii="SimHei" w:hAnsi="SimHei" w:eastAsia="SimHei" w:cs="SimHei"/>
                <w:sz w:val="20"/>
                <w:szCs w:val="20"/>
              </w:rPr>
              <w:t xml:space="preserve">   </w:t>
            </w:r>
            <w:r>
              <w:rPr>
                <w:rFonts w:ascii="SimHei" w:hAnsi="SimHei" w:eastAsia="SimHei" w:cs="SimHei"/>
                <w:sz w:val="20"/>
                <w:szCs w:val="20"/>
                <w:b/>
                <w:bCs/>
                <w:u w:val="single" w:color="auto"/>
                <w:spacing w:val="-1"/>
              </w:rPr>
              <w:t>的资格审核为形式审核，即对意向投资人提交的报名材料进行完整性和</w:t>
            </w:r>
            <w:r>
              <w:rPr>
                <w:rFonts w:ascii="SimHei" w:hAnsi="SimHei" w:eastAsia="SimHei" w:cs="SimHei"/>
                <w:sz w:val="20"/>
                <w:szCs w:val="20"/>
                <w:b/>
                <w:bCs/>
                <w:u w:val="single" w:color="auto"/>
                <w:spacing w:val="-2"/>
              </w:rPr>
              <w:t>规范性审核。</w:t>
            </w:r>
            <w:r>
              <w:rPr>
                <w:rFonts w:ascii="SimHei" w:hAnsi="SimHei" w:eastAsia="SimHei" w:cs="SimHei"/>
                <w:sz w:val="20"/>
                <w:szCs w:val="20"/>
                <w:spacing w:val="-2"/>
              </w:rPr>
              <w:t>意向投资人须对所提</w:t>
            </w:r>
            <w:r>
              <w:rPr>
                <w:rFonts w:ascii="SimHei" w:hAnsi="SimHei" w:eastAsia="SimHei" w:cs="SimHei"/>
                <w:sz w:val="20"/>
                <w:szCs w:val="20"/>
              </w:rPr>
              <w:t xml:space="preserve"> </w:t>
            </w:r>
            <w:r>
              <w:rPr>
                <w:rFonts w:ascii="SimHei" w:hAnsi="SimHei" w:eastAsia="SimHei" w:cs="SimHei"/>
                <w:sz w:val="20"/>
                <w:szCs w:val="20"/>
                <w:spacing w:val="-1"/>
              </w:rPr>
              <w:t>交的报名材料的真实性、合法性、完整性和有效性负责。</w:t>
            </w:r>
            <w:r>
              <w:rPr>
                <w:rFonts w:ascii="SimHei" w:hAnsi="SimHei" w:eastAsia="SimHei" w:cs="SimHei"/>
                <w:sz w:val="20"/>
                <w:szCs w:val="20"/>
                <w:b/>
                <w:bCs/>
                <w:u w:val="single" w:color="auto"/>
                <w:spacing w:val="-1"/>
              </w:rPr>
              <w:t>通过资格</w:t>
            </w:r>
            <w:r>
              <w:rPr>
                <w:rFonts w:ascii="SimHei" w:hAnsi="SimHei" w:eastAsia="SimHei" w:cs="SimHei"/>
                <w:sz w:val="20"/>
                <w:szCs w:val="20"/>
                <w:b/>
                <w:bCs/>
                <w:u w:val="single" w:color="auto"/>
                <w:spacing w:val="-2"/>
              </w:rPr>
              <w:t>审核合格的意向投资人才能参与竞价。</w:t>
            </w:r>
            <w:r>
              <w:rPr>
                <w:rFonts w:ascii="SimHei" w:hAnsi="SimHei" w:eastAsia="SimHei" w:cs="SimHei"/>
                <w:sz w:val="20"/>
                <w:szCs w:val="20"/>
                <w:u w:val="single" w:color="auto"/>
                <w:spacing w:val="-50"/>
              </w:rPr>
              <w:t xml:space="preserve"> </w:t>
            </w:r>
            <w:r>
              <w:rPr>
                <w:rFonts w:ascii="SimHei" w:hAnsi="SimHei" w:eastAsia="SimHei" w:cs="SimHei"/>
                <w:sz w:val="20"/>
                <w:szCs w:val="20"/>
              </w:rPr>
              <w:t xml:space="preserve"> </w:t>
            </w:r>
            <w:r>
              <w:rPr>
                <w:rFonts w:ascii="SimHei" w:hAnsi="SimHei" w:eastAsia="SimHei" w:cs="SimHei"/>
                <w:sz w:val="20"/>
                <w:szCs w:val="20"/>
                <w:b/>
                <w:bCs/>
                <w:u w:val="single" w:color="auto"/>
                <w:spacing w:val="-2"/>
              </w:rPr>
              <w:t>对未通过资格审核的意向投资人，委托方和交易中心无需</w:t>
            </w:r>
            <w:r>
              <w:rPr>
                <w:rFonts w:ascii="SimHei" w:hAnsi="SimHei" w:eastAsia="SimHei" w:cs="SimHei"/>
                <w:sz w:val="20"/>
                <w:szCs w:val="20"/>
                <w:b/>
                <w:bCs/>
                <w:u w:val="single" w:color="auto"/>
                <w:spacing w:val="-3"/>
              </w:rPr>
              <w:t>作出解释或说明。</w:t>
            </w:r>
          </w:p>
          <w:p>
            <w:pPr>
              <w:ind w:left="3942"/>
              <w:spacing w:before="165" w:line="221" w:lineRule="auto"/>
              <w:rPr>
                <w:rFonts w:ascii="SimHei" w:hAnsi="SimHei" w:eastAsia="SimHei" w:cs="SimHei"/>
                <w:sz w:val="22"/>
                <w:szCs w:val="22"/>
              </w:rPr>
            </w:pPr>
            <w:r>
              <w:rPr>
                <w:rFonts w:ascii="SimHei" w:hAnsi="SimHei" w:eastAsia="SimHei" w:cs="SimHei"/>
                <w:sz w:val="22"/>
                <w:szCs w:val="22"/>
                <w:b/>
                <w:bCs/>
                <w:spacing w:val="-21"/>
              </w:rPr>
              <w:t>七、关于网上竞价的说明</w:t>
            </w:r>
          </w:p>
          <w:p>
            <w:pPr>
              <w:ind w:left="159" w:right="90" w:firstLine="479"/>
              <w:spacing w:before="180" w:line="228" w:lineRule="auto"/>
              <w:rPr>
                <w:rFonts w:ascii="SimHei" w:hAnsi="SimHei" w:eastAsia="SimHei" w:cs="SimHei"/>
                <w:sz w:val="22"/>
                <w:szCs w:val="22"/>
              </w:rPr>
            </w:pPr>
            <w:r>
              <w:rPr>
                <w:rFonts w:ascii="SimHei" w:hAnsi="SimHei" w:eastAsia="SimHei" w:cs="SimHei"/>
                <w:sz w:val="22"/>
                <w:szCs w:val="22"/>
                <w:spacing w:val="-18"/>
              </w:rPr>
              <w:t>第十八条意向投资人的交易资格被确认后，应按照项目</w:t>
            </w:r>
            <w:r>
              <w:rPr>
                <w:rFonts w:ascii="SimHei" w:hAnsi="SimHei" w:eastAsia="SimHei" w:cs="SimHei"/>
                <w:sz w:val="22"/>
                <w:szCs w:val="22"/>
                <w:spacing w:val="-19"/>
              </w:rPr>
              <w:t>公告的要求参与网络竞价。竞价过程中，意</w:t>
            </w:r>
            <w:r>
              <w:rPr>
                <w:rFonts w:ascii="SimHei" w:hAnsi="SimHei" w:eastAsia="SimHei" w:cs="SimHei"/>
                <w:sz w:val="22"/>
                <w:szCs w:val="22"/>
              </w:rPr>
              <w:t xml:space="preserve"> </w:t>
            </w:r>
            <w:r>
              <w:rPr>
                <w:rFonts w:ascii="SimHei" w:hAnsi="SimHei" w:eastAsia="SimHei" w:cs="SimHei"/>
                <w:sz w:val="22"/>
                <w:szCs w:val="22"/>
                <w:spacing w:val="-20"/>
              </w:rPr>
              <w:t>向投资人应遵循交易中心以及项目公告的交易规则的相关规定规范操作。</w:t>
            </w:r>
          </w:p>
          <w:p>
            <w:pPr>
              <w:pStyle w:val="TableText"/>
              <w:ind w:left="159" w:firstLine="479"/>
              <w:spacing w:before="27" w:line="214" w:lineRule="auto"/>
              <w:rPr>
                <w:sz w:val="20"/>
                <w:szCs w:val="20"/>
              </w:rPr>
            </w:pPr>
            <w:r>
              <w:rPr>
                <w:sz w:val="20"/>
                <w:szCs w:val="20"/>
                <w:spacing w:val="11"/>
              </w:rPr>
              <w:t>第十九条意向投资人应遵守交易中心的交易规则，每个注册账户仅供一位意向投资人使用。凡</w:t>
            </w:r>
            <w:r>
              <w:rPr>
                <w:sz w:val="20"/>
                <w:szCs w:val="20"/>
                <w:spacing w:val="7"/>
              </w:rPr>
              <w:t xml:space="preserve">  </w:t>
            </w:r>
            <w:r>
              <w:rPr>
                <w:sz w:val="20"/>
                <w:szCs w:val="20"/>
                <w:spacing w:val="10"/>
              </w:rPr>
              <w:t>使用该账户所进行的一切报价，均视为意向投资人自行办理，报价与交易结果由该意向投资人承</w:t>
            </w:r>
            <w:r>
              <w:rPr>
                <w:sz w:val="20"/>
                <w:szCs w:val="20"/>
                <w:spacing w:val="9"/>
              </w:rPr>
              <w:t>担全</w:t>
            </w:r>
          </w:p>
        </w:tc>
      </w:tr>
      <w:tr>
        <w:trPr>
          <w:trHeight w:val="9179" w:hRule="atLeast"/>
        </w:trPr>
        <w:tc>
          <w:tcPr>
            <w:tcW w:w="9409" w:type="dxa"/>
            <w:vAlign w:val="top"/>
            <w:tcBorders>
              <w:left w:val="single" w:color="000000" w:sz="8" w:space="0"/>
              <w:top w:val="single" w:color="000000" w:sz="4" w:space="0"/>
            </w:tcBorders>
          </w:tcPr>
          <w:p>
            <w:pPr>
              <w:pStyle w:val="TableText"/>
              <w:ind w:left="159"/>
              <w:spacing w:before="77" w:line="219" w:lineRule="auto"/>
              <w:rPr>
                <w:sz w:val="20"/>
                <w:szCs w:val="20"/>
              </w:rPr>
            </w:pPr>
            <w:r>
              <w:rPr>
                <w:sz w:val="20"/>
                <w:szCs w:val="20"/>
                <w:u w:val="single" w:color="auto"/>
              </w:rPr>
              <w:t>部责任。 </w:t>
            </w:r>
          </w:p>
          <w:p>
            <w:pPr>
              <w:ind w:left="159" w:right="7" w:firstLine="479"/>
              <w:spacing w:before="62" w:line="260" w:lineRule="auto"/>
              <w:jc w:val="both"/>
              <w:rPr>
                <w:rFonts w:ascii="SimHei" w:hAnsi="SimHei" w:eastAsia="SimHei" w:cs="SimHei"/>
                <w:sz w:val="20"/>
                <w:szCs w:val="20"/>
              </w:rPr>
            </w:pPr>
            <w:r>
              <w:rPr>
                <w:rFonts w:ascii="SimHei" w:hAnsi="SimHei" w:eastAsia="SimHei" w:cs="SimHei"/>
                <w:sz w:val="20"/>
                <w:szCs w:val="20"/>
                <w:spacing w:val="2"/>
              </w:rPr>
              <w:t>第二十条在网络竞价过程中，如发生操作系统故障等</w:t>
            </w:r>
            <w:r>
              <w:rPr>
                <w:rFonts w:ascii="SimHei" w:hAnsi="SimHei" w:eastAsia="SimHei" w:cs="SimHei"/>
                <w:sz w:val="20"/>
                <w:szCs w:val="20"/>
                <w:spacing w:val="1"/>
              </w:rPr>
              <w:t>无法继续竞价的情形时，交易中心将视具体情</w:t>
            </w:r>
            <w:r>
              <w:rPr>
                <w:rFonts w:ascii="SimHei" w:hAnsi="SimHei" w:eastAsia="SimHei" w:cs="SimHei"/>
                <w:sz w:val="20"/>
                <w:szCs w:val="20"/>
              </w:rPr>
              <w:t xml:space="preserve">  </w:t>
            </w:r>
            <w:r>
              <w:rPr>
                <w:rFonts w:ascii="SimHei" w:hAnsi="SimHei" w:eastAsia="SimHei" w:cs="SimHei"/>
                <w:sz w:val="20"/>
                <w:szCs w:val="20"/>
              </w:rPr>
              <w:t>况作出中止、重新开始或调整网络竞价时间等的决定，并在交易中心官网予以公告，并按照本须知关于通</w:t>
            </w:r>
            <w:r>
              <w:rPr>
                <w:rFonts w:ascii="SimHei" w:hAnsi="SimHei" w:eastAsia="SimHei" w:cs="SimHei"/>
                <w:sz w:val="20"/>
                <w:szCs w:val="20"/>
                <w:spacing w:val="16"/>
              </w:rPr>
              <w:t xml:space="preserve"> </w:t>
            </w:r>
            <w:r>
              <w:rPr>
                <w:rFonts w:ascii="SimHei" w:hAnsi="SimHei" w:eastAsia="SimHei" w:cs="SimHei"/>
                <w:sz w:val="20"/>
                <w:szCs w:val="20"/>
                <w:spacing w:val="2"/>
              </w:rPr>
              <w:t>知(复函)事项的说明的方式通知意向投资人，</w:t>
            </w:r>
            <w:r>
              <w:rPr>
                <w:rFonts w:ascii="SimHei" w:hAnsi="SimHei" w:eastAsia="SimHei" w:cs="SimHei"/>
                <w:sz w:val="20"/>
                <w:szCs w:val="20"/>
                <w:spacing w:val="-15"/>
              </w:rPr>
              <w:t xml:space="preserve"> </w:t>
            </w:r>
            <w:r>
              <w:rPr>
                <w:rFonts w:ascii="SimHei" w:hAnsi="SimHei" w:eastAsia="SimHei" w:cs="SimHei"/>
                <w:sz w:val="20"/>
                <w:szCs w:val="20"/>
                <w:b/>
                <w:bCs/>
                <w:u w:val="single" w:color="auto"/>
                <w:spacing w:val="2"/>
              </w:rPr>
              <w:t>意向投资人应无条件接受此相应安排，交易中心和交易中</w:t>
            </w:r>
            <w:r>
              <w:rPr>
                <w:rFonts w:ascii="SimHei" w:hAnsi="SimHei" w:eastAsia="SimHei" w:cs="SimHei"/>
                <w:sz w:val="20"/>
                <w:szCs w:val="20"/>
              </w:rPr>
              <w:t xml:space="preserve"> </w:t>
            </w:r>
            <w:r>
              <w:rPr>
                <w:rFonts w:ascii="SimHei" w:hAnsi="SimHei" w:eastAsia="SimHei" w:cs="SimHei"/>
                <w:sz w:val="20"/>
                <w:szCs w:val="20"/>
                <w:b/>
                <w:bCs/>
                <w:u w:val="single" w:color="auto"/>
                <w:spacing w:val="-2"/>
              </w:rPr>
              <w:t>心平台不承担任何责任。继续竞价或重新竞价的规则如下</w:t>
            </w:r>
            <w:r>
              <w:rPr>
                <w:rFonts w:ascii="SimHei" w:hAnsi="SimHei" w:eastAsia="SimHei" w:cs="SimHei"/>
                <w:sz w:val="20"/>
                <w:szCs w:val="20"/>
                <w:b/>
                <w:bCs/>
                <w:u w:val="single" w:color="auto"/>
                <w:spacing w:val="-3"/>
              </w:rPr>
              <w:t>：</w:t>
            </w:r>
            <w:r>
              <w:rPr>
                <w:rFonts w:ascii="SimHei" w:hAnsi="SimHei" w:eastAsia="SimHei" w:cs="SimHei"/>
                <w:sz w:val="20"/>
                <w:szCs w:val="20"/>
                <w:u w:val="single" w:color="auto"/>
                <w:spacing w:val="-3"/>
              </w:rPr>
              <w:t xml:space="preserve"> </w:t>
            </w:r>
          </w:p>
          <w:p>
            <w:pPr>
              <w:ind w:left="163" w:right="160" w:firstLine="479"/>
              <w:spacing w:line="228" w:lineRule="auto"/>
              <w:rPr>
                <w:rFonts w:ascii="SimHei" w:hAnsi="SimHei" w:eastAsia="SimHei" w:cs="SimHei"/>
                <w:sz w:val="22"/>
                <w:szCs w:val="22"/>
              </w:rPr>
            </w:pPr>
            <w:r>
              <w:rPr>
                <w:rFonts w:ascii="SimHei" w:hAnsi="SimHei" w:eastAsia="SimHei" w:cs="SimHei"/>
                <w:sz w:val="22"/>
                <w:szCs w:val="22"/>
                <w:b/>
                <w:bCs/>
                <w:u w:val="single" w:color="auto"/>
                <w:spacing w:val="-17"/>
              </w:rPr>
              <w:t>(一)竞价记录可以恢复的，继续竞价。继续竞价时将增加一定时</w:t>
            </w:r>
            <w:r>
              <w:rPr>
                <w:rFonts w:ascii="SimHei" w:hAnsi="SimHei" w:eastAsia="SimHei" w:cs="SimHei"/>
                <w:sz w:val="22"/>
                <w:szCs w:val="22"/>
                <w:b/>
                <w:bCs/>
                <w:u w:val="single" w:color="auto"/>
                <w:spacing w:val="-18"/>
              </w:rPr>
              <w:t>间的自由报价期，起始价为中止</w:t>
            </w:r>
            <w:r>
              <w:rPr>
                <w:rFonts w:ascii="SimHei" w:hAnsi="SimHei" w:eastAsia="SimHei" w:cs="SimHei"/>
                <w:sz w:val="22"/>
                <w:szCs w:val="22"/>
              </w:rPr>
              <w:t xml:space="preserve"> </w:t>
            </w:r>
            <w:r>
              <w:rPr>
                <w:rFonts w:ascii="SimHei" w:hAnsi="SimHei" w:eastAsia="SimHei" w:cs="SimHei"/>
                <w:sz w:val="22"/>
                <w:szCs w:val="22"/>
                <w:b/>
                <w:bCs/>
                <w:u w:val="single" w:color="auto"/>
                <w:spacing w:val="-8"/>
              </w:rPr>
              <w:t>时意向投资人的最高有效报价；</w:t>
            </w:r>
          </w:p>
          <w:p>
            <w:pPr>
              <w:ind w:left="742"/>
              <w:spacing w:before="36" w:line="213" w:lineRule="auto"/>
              <w:rPr>
                <w:rFonts w:ascii="SimHei" w:hAnsi="SimHei" w:eastAsia="SimHei" w:cs="SimHei"/>
                <w:sz w:val="22"/>
                <w:szCs w:val="22"/>
              </w:rPr>
            </w:pPr>
            <w:r>
              <w:rPr>
                <w:rFonts w:ascii="SimHei" w:hAnsi="SimHei" w:eastAsia="SimHei" w:cs="SimHei"/>
                <w:sz w:val="22"/>
                <w:szCs w:val="22"/>
                <w:b/>
                <w:bCs/>
                <w:u w:val="single" w:color="auto"/>
                <w:spacing w:val="-17"/>
              </w:rPr>
              <w:t>(二)竞价记录无法恢复的，以挂牌价为起价重新竞价。</w:t>
            </w:r>
          </w:p>
          <w:p>
            <w:pPr>
              <w:ind w:left="4043"/>
              <w:spacing w:before="185" w:line="221" w:lineRule="auto"/>
              <w:rPr>
                <w:rFonts w:ascii="SimHei" w:hAnsi="SimHei" w:eastAsia="SimHei" w:cs="SimHei"/>
                <w:sz w:val="22"/>
                <w:szCs w:val="22"/>
              </w:rPr>
            </w:pPr>
            <w:r>
              <w:rPr>
                <w:rFonts w:ascii="SimHei" w:hAnsi="SimHei" w:eastAsia="SimHei" w:cs="SimHei"/>
                <w:sz w:val="22"/>
                <w:szCs w:val="22"/>
                <w:b/>
                <w:bCs/>
                <w:spacing w:val="-20"/>
              </w:rPr>
              <w:t>八、关于优先权的说明</w:t>
            </w:r>
          </w:p>
          <w:p>
            <w:pPr>
              <w:pStyle w:val="TableText"/>
              <w:ind w:left="159" w:right="13" w:firstLine="479"/>
              <w:spacing w:before="178" w:line="237" w:lineRule="auto"/>
              <w:rPr>
                <w:sz w:val="21"/>
                <w:szCs w:val="21"/>
              </w:rPr>
            </w:pPr>
            <w:r>
              <w:rPr>
                <w:sz w:val="21"/>
                <w:szCs w:val="21"/>
                <w:spacing w:val="1"/>
              </w:rPr>
              <w:t>第二十一条经征询仅产生1名优先购买权人且采用网络竞价方式行</w:t>
            </w:r>
            <w:r>
              <w:rPr>
                <w:sz w:val="21"/>
                <w:szCs w:val="21"/>
              </w:rPr>
              <w:t>权的，拥有优先权的意向投资 </w:t>
            </w:r>
            <w:r>
              <w:rPr>
                <w:sz w:val="21"/>
                <w:szCs w:val="21"/>
              </w:rPr>
              <w:t>人可以点击“报名并提交保证金之后”,在“受让申请”里“是否主张优先</w:t>
            </w:r>
            <w:r>
              <w:rPr>
                <w:sz w:val="21"/>
                <w:szCs w:val="21"/>
                <w:spacing w:val="-1"/>
              </w:rPr>
              <w:t>权”点击“是”。该意向</w:t>
            </w:r>
            <w:r>
              <w:rPr>
                <w:sz w:val="21"/>
                <w:szCs w:val="21"/>
              </w:rPr>
              <w:t xml:space="preserve">  </w:t>
            </w:r>
            <w:r>
              <w:rPr>
                <w:sz w:val="21"/>
                <w:szCs w:val="21"/>
                <w:spacing w:val="-1"/>
              </w:rPr>
              <w:t>投资人参加竞价在同等条件下享有优先权。</w:t>
            </w:r>
          </w:p>
          <w:p>
            <w:pPr>
              <w:ind w:left="639"/>
              <w:spacing w:before="49" w:line="221" w:lineRule="auto"/>
              <w:rPr>
                <w:rFonts w:ascii="SimHei" w:hAnsi="SimHei" w:eastAsia="SimHei" w:cs="SimHei"/>
                <w:sz w:val="22"/>
                <w:szCs w:val="22"/>
              </w:rPr>
            </w:pPr>
            <w:r>
              <w:rPr>
                <w:rFonts w:ascii="SimHei" w:hAnsi="SimHei" w:eastAsia="SimHei" w:cs="SimHei"/>
                <w:sz w:val="22"/>
                <w:szCs w:val="22"/>
                <w:spacing w:val="-9"/>
              </w:rPr>
              <w:t>第二十二条</w:t>
            </w:r>
            <w:r>
              <w:rPr>
                <w:rFonts w:ascii="SimHei" w:hAnsi="SimHei" w:eastAsia="SimHei" w:cs="SimHei"/>
                <w:sz w:val="22"/>
                <w:szCs w:val="22"/>
                <w:spacing w:val="-69"/>
              </w:rPr>
              <w:t xml:space="preserve"> </w:t>
            </w:r>
            <w:r>
              <w:rPr>
                <w:rFonts w:ascii="SimHei" w:hAnsi="SimHei" w:eastAsia="SimHei" w:cs="SimHei"/>
                <w:sz w:val="22"/>
                <w:szCs w:val="22"/>
                <w:u w:val="single" w:color="auto"/>
                <w:spacing w:val="-91"/>
              </w:rPr>
              <w:t xml:space="preserve"> </w:t>
            </w:r>
            <w:r>
              <w:rPr>
                <w:rFonts w:ascii="SimHei" w:hAnsi="SimHei" w:eastAsia="SimHei" w:cs="SimHei"/>
                <w:sz w:val="22"/>
                <w:szCs w:val="22"/>
                <w:b/>
                <w:bCs/>
                <w:u w:val="single" w:color="auto"/>
                <w:spacing w:val="-9"/>
              </w:rPr>
              <w:t>网络竞价(正向一次)优先权行使：</w:t>
            </w:r>
          </w:p>
          <w:p>
            <w:pPr>
              <w:ind w:left="159" w:right="8" w:firstLine="479"/>
              <w:spacing w:before="29" w:line="232" w:lineRule="auto"/>
              <w:rPr>
                <w:rFonts w:ascii="SimHei" w:hAnsi="SimHei" w:eastAsia="SimHei" w:cs="SimHei"/>
                <w:sz w:val="22"/>
                <w:szCs w:val="22"/>
              </w:rPr>
            </w:pPr>
            <w:r>
              <w:rPr>
                <w:rFonts w:ascii="SimHei" w:hAnsi="SimHei" w:eastAsia="SimHei" w:cs="SimHei"/>
                <w:sz w:val="22"/>
                <w:szCs w:val="22"/>
                <w:spacing w:val="-10"/>
              </w:rPr>
              <w:t>网络竞价(正向一次)分为报价时间和行使优先权时间(以下简称“行权时间”)两个阶段。报价</w:t>
            </w:r>
            <w:r>
              <w:rPr>
                <w:rFonts w:ascii="SimHei" w:hAnsi="SimHei" w:eastAsia="SimHei" w:cs="SimHei"/>
                <w:sz w:val="22"/>
                <w:szCs w:val="22"/>
                <w:spacing w:val="3"/>
              </w:rPr>
              <w:t xml:space="preserve">  </w:t>
            </w:r>
            <w:r>
              <w:rPr>
                <w:rFonts w:ascii="SimHei" w:hAnsi="SimHei" w:eastAsia="SimHei" w:cs="SimHei"/>
                <w:sz w:val="22"/>
                <w:szCs w:val="22"/>
                <w:spacing w:val="-20"/>
              </w:rPr>
              <w:t>时间结束后即进入行权时间。在行权时间内，优先权人可以通过点击“行使优先购买权”或“放弃行使优</w:t>
            </w:r>
            <w:r>
              <w:rPr>
                <w:rFonts w:ascii="SimHei" w:hAnsi="SimHei" w:eastAsia="SimHei" w:cs="SimHei"/>
                <w:sz w:val="22"/>
                <w:szCs w:val="22"/>
                <w:spacing w:val="15"/>
              </w:rPr>
              <w:t xml:space="preserve"> </w:t>
            </w:r>
            <w:r>
              <w:rPr>
                <w:rFonts w:ascii="SimHei" w:hAnsi="SimHei" w:eastAsia="SimHei" w:cs="SimHei"/>
                <w:sz w:val="22"/>
                <w:szCs w:val="22"/>
                <w:spacing w:val="-19"/>
              </w:rPr>
              <w:t>先购买权”的按钮选择是否行使优先权。若优先权</w:t>
            </w:r>
            <w:r>
              <w:rPr>
                <w:rFonts w:ascii="SimHei" w:hAnsi="SimHei" w:eastAsia="SimHei" w:cs="SimHei"/>
                <w:sz w:val="22"/>
                <w:szCs w:val="22"/>
                <w:spacing w:val="-20"/>
              </w:rPr>
              <w:t>人选择行使优先权，则由优先权人以非优先权人的最高</w:t>
            </w:r>
            <w:r>
              <w:rPr>
                <w:rFonts w:ascii="SimHei" w:hAnsi="SimHei" w:eastAsia="SimHei" w:cs="SimHei"/>
                <w:sz w:val="22"/>
                <w:szCs w:val="22"/>
              </w:rPr>
              <w:t xml:space="preserve"> </w:t>
            </w:r>
            <w:r>
              <w:rPr>
                <w:rFonts w:ascii="SimHei" w:hAnsi="SimHei" w:eastAsia="SimHei" w:cs="SimHei"/>
                <w:sz w:val="22"/>
                <w:szCs w:val="22"/>
                <w:spacing w:val="-12"/>
              </w:rPr>
              <w:t>报价成为投资人(受让方或承租方或投资方，下同);若优先权人选择放弃行使优先</w:t>
            </w:r>
            <w:r>
              <w:rPr>
                <w:rFonts w:ascii="SimHei" w:hAnsi="SimHei" w:eastAsia="SimHei" w:cs="SimHei"/>
                <w:sz w:val="22"/>
                <w:szCs w:val="22"/>
                <w:spacing w:val="-13"/>
              </w:rPr>
              <w:t>权或未在行权时间内</w:t>
            </w:r>
            <w:r>
              <w:rPr>
                <w:rFonts w:ascii="SimHei" w:hAnsi="SimHei" w:eastAsia="SimHei" w:cs="SimHei"/>
                <w:sz w:val="22"/>
                <w:szCs w:val="22"/>
              </w:rPr>
              <w:t xml:space="preserve"> </w:t>
            </w:r>
            <w:r>
              <w:rPr>
                <w:rFonts w:ascii="SimHei" w:hAnsi="SimHei" w:eastAsia="SimHei" w:cs="SimHei"/>
                <w:sz w:val="22"/>
                <w:szCs w:val="22"/>
                <w:spacing w:val="-20"/>
              </w:rPr>
              <w:t>作出选择的，则按照价格优先、时间优先的原则确定的最高报价的非优先权人按其报价成为投资人。</w:t>
            </w:r>
          </w:p>
          <w:p>
            <w:pPr>
              <w:ind w:left="159" w:right="158" w:firstLine="479"/>
              <w:spacing w:before="29" w:line="244" w:lineRule="auto"/>
              <w:rPr>
                <w:rFonts w:ascii="SimHei" w:hAnsi="SimHei" w:eastAsia="SimHei" w:cs="SimHei"/>
                <w:sz w:val="22"/>
                <w:szCs w:val="22"/>
              </w:rPr>
            </w:pPr>
            <w:r>
              <w:rPr>
                <w:rFonts w:ascii="SimHei" w:hAnsi="SimHei" w:eastAsia="SimHei" w:cs="SimHei"/>
                <w:sz w:val="22"/>
                <w:szCs w:val="22"/>
                <w:spacing w:val="-20"/>
              </w:rPr>
              <w:t>进入行权时间，当优先权人点击了“行使优先权”或“放弃优先权”的按钮后或行权时间结束后，</w:t>
            </w:r>
            <w:r>
              <w:rPr>
                <w:rFonts w:ascii="SimHei" w:hAnsi="SimHei" w:eastAsia="SimHei" w:cs="SimHei"/>
                <w:sz w:val="22"/>
                <w:szCs w:val="22"/>
              </w:rPr>
              <w:t xml:space="preserve"> </w:t>
            </w:r>
            <w:r>
              <w:rPr>
                <w:rFonts w:ascii="SimHei" w:hAnsi="SimHei" w:eastAsia="SimHei" w:cs="SimHei"/>
                <w:sz w:val="22"/>
                <w:szCs w:val="22"/>
                <w:spacing w:val="-20"/>
              </w:rPr>
              <w:t>所有意向投资人均可在“查看报价记录”界面看到标的的所有报价和成交价。</w:t>
            </w:r>
          </w:p>
          <w:p>
            <w:pPr>
              <w:ind w:left="639"/>
              <w:spacing w:before="25" w:line="221" w:lineRule="auto"/>
              <w:rPr>
                <w:rFonts w:ascii="SimHei" w:hAnsi="SimHei" w:eastAsia="SimHei" w:cs="SimHei"/>
                <w:sz w:val="22"/>
                <w:szCs w:val="22"/>
              </w:rPr>
            </w:pPr>
            <w:r>
              <w:rPr>
                <w:rFonts w:ascii="SimHei" w:hAnsi="SimHei" w:eastAsia="SimHei" w:cs="SimHei"/>
                <w:sz w:val="22"/>
                <w:szCs w:val="22"/>
                <w:spacing w:val="-9"/>
              </w:rPr>
              <w:t>第二十三条</w:t>
            </w:r>
            <w:r>
              <w:rPr>
                <w:rFonts w:ascii="SimHei" w:hAnsi="SimHei" w:eastAsia="SimHei" w:cs="SimHei"/>
                <w:sz w:val="22"/>
                <w:szCs w:val="22"/>
                <w:spacing w:val="-68"/>
              </w:rPr>
              <w:t xml:space="preserve"> </w:t>
            </w:r>
            <w:r>
              <w:rPr>
                <w:rFonts w:ascii="SimHei" w:hAnsi="SimHei" w:eastAsia="SimHei" w:cs="SimHei"/>
                <w:sz w:val="22"/>
                <w:szCs w:val="22"/>
                <w:u w:val="single" w:color="auto"/>
                <w:spacing w:val="-92"/>
              </w:rPr>
              <w:t xml:space="preserve"> </w:t>
            </w:r>
            <w:r>
              <w:rPr>
                <w:rFonts w:ascii="SimHei" w:hAnsi="SimHei" w:eastAsia="SimHei" w:cs="SimHei"/>
                <w:sz w:val="22"/>
                <w:szCs w:val="22"/>
                <w:b/>
                <w:bCs/>
                <w:u w:val="single" w:color="auto"/>
                <w:spacing w:val="-9"/>
              </w:rPr>
              <w:t>网络竞价(正向多次)优先权行使：</w:t>
            </w:r>
          </w:p>
          <w:p>
            <w:pPr>
              <w:pStyle w:val="TableText"/>
              <w:ind w:left="729"/>
              <w:spacing w:before="31" w:line="219" w:lineRule="auto"/>
              <w:rPr>
                <w:sz w:val="20"/>
                <w:szCs w:val="20"/>
              </w:rPr>
            </w:pPr>
            <w:r>
              <w:rPr>
                <w:sz w:val="20"/>
                <w:szCs w:val="20"/>
                <w:u w:val="single" w:color="auto"/>
                <w:spacing w:val="18"/>
              </w:rPr>
              <w:t>(一)过程行权方式的优先权行使</w:t>
            </w:r>
          </w:p>
          <w:p>
            <w:pPr>
              <w:pStyle w:val="TableText"/>
              <w:ind w:left="159" w:right="28" w:firstLine="479"/>
              <w:spacing w:before="32" w:line="259" w:lineRule="auto"/>
              <w:jc w:val="both"/>
              <w:rPr>
                <w:sz w:val="20"/>
                <w:szCs w:val="20"/>
              </w:rPr>
            </w:pPr>
            <w:r>
              <w:rPr>
                <w:sz w:val="20"/>
                <w:szCs w:val="20"/>
                <w:spacing w:val="-6"/>
              </w:rPr>
              <w:t>合格意向投资人报出一个新的价格，享有优先权意向投资人可以通过报价系统选择跟进、加价或放弃；</w:t>
            </w:r>
            <w:r>
              <w:rPr>
                <w:sz w:val="20"/>
                <w:szCs w:val="20"/>
              </w:rPr>
              <w:t xml:space="preserve"> </w:t>
            </w:r>
            <w:r>
              <w:rPr>
                <w:sz w:val="20"/>
                <w:szCs w:val="20"/>
                <w:spacing w:val="-5"/>
              </w:rPr>
              <w:t>若非优先权人再行加价，优先权人可继续选择跟进、加价或放弃，若优先权人放弃行使优先权的，则报价最</w:t>
            </w:r>
            <w:r>
              <w:rPr>
                <w:sz w:val="20"/>
                <w:szCs w:val="20"/>
                <w:spacing w:val="14"/>
              </w:rPr>
              <w:t xml:space="preserve"> </w:t>
            </w:r>
            <w:r>
              <w:rPr>
                <w:sz w:val="20"/>
                <w:szCs w:val="20"/>
                <w:spacing w:val="-4"/>
              </w:rPr>
              <w:t>高的非优先权人即成为投资人；若优先权人</w:t>
            </w:r>
            <w:r>
              <w:rPr>
                <w:sz w:val="20"/>
                <w:szCs w:val="20"/>
                <w:spacing w:val="-5"/>
              </w:rPr>
              <w:t>报出最高报价或以最高报价行使优先权，且非优先权人均放弃加</w:t>
            </w:r>
            <w:r>
              <w:rPr>
                <w:sz w:val="20"/>
                <w:szCs w:val="20"/>
              </w:rPr>
              <w:t xml:space="preserve"> </w:t>
            </w:r>
            <w:r>
              <w:rPr>
                <w:sz w:val="20"/>
                <w:szCs w:val="20"/>
                <w:spacing w:val="-6"/>
              </w:rPr>
              <w:t>价时，则该优先权人即成为投资人。</w:t>
            </w:r>
          </w:p>
          <w:p>
            <w:pPr>
              <w:ind w:left="792"/>
              <w:spacing w:before="24" w:line="221" w:lineRule="auto"/>
              <w:rPr>
                <w:rFonts w:ascii="SimHei" w:hAnsi="SimHei" w:eastAsia="SimHei" w:cs="SimHei"/>
                <w:sz w:val="22"/>
                <w:szCs w:val="22"/>
              </w:rPr>
            </w:pPr>
            <w:r>
              <w:rPr>
                <w:rFonts w:ascii="SimHei" w:hAnsi="SimHei" w:eastAsia="SimHei" w:cs="SimHei"/>
                <w:sz w:val="22"/>
                <w:szCs w:val="22"/>
                <w:b/>
                <w:bCs/>
                <w:u w:val="single" w:color="auto"/>
                <w:spacing w:val="-16"/>
              </w:rPr>
              <w:t>(二)结果行权方式的优先权行使</w:t>
            </w:r>
          </w:p>
          <w:p>
            <w:pPr>
              <w:ind w:left="642"/>
              <w:spacing w:before="7" w:line="221" w:lineRule="auto"/>
              <w:rPr>
                <w:rFonts w:ascii="SimHei" w:hAnsi="SimHei" w:eastAsia="SimHei" w:cs="SimHei"/>
                <w:sz w:val="22"/>
                <w:szCs w:val="22"/>
              </w:rPr>
            </w:pPr>
            <w:r>
              <w:rPr>
                <w:rFonts w:ascii="SimHei" w:hAnsi="SimHei" w:eastAsia="SimHei" w:cs="SimHei"/>
                <w:sz w:val="22"/>
                <w:szCs w:val="22"/>
                <w:b/>
                <w:bCs/>
                <w:spacing w:val="-23"/>
              </w:rPr>
              <w:t>结果行权竞价流程分为以下三个阶段：</w:t>
            </w:r>
          </w:p>
          <w:p>
            <w:pPr>
              <w:ind w:left="159" w:right="160" w:firstLine="483"/>
              <w:spacing w:before="25" w:line="244" w:lineRule="auto"/>
              <w:rPr>
                <w:rFonts w:ascii="SimHei" w:hAnsi="SimHei" w:eastAsia="SimHei" w:cs="SimHei"/>
                <w:sz w:val="22"/>
                <w:szCs w:val="22"/>
              </w:rPr>
            </w:pPr>
            <w:r>
              <w:rPr>
                <w:rFonts w:ascii="SimHei" w:hAnsi="SimHei" w:eastAsia="SimHei" w:cs="SimHei"/>
                <w:sz w:val="22"/>
                <w:szCs w:val="22"/>
                <w:b/>
                <w:bCs/>
                <w:spacing w:val="-16"/>
              </w:rPr>
              <w:t>1.第一阶段为网络竞价(正向多次)。</w:t>
            </w:r>
            <w:r>
              <w:rPr>
                <w:rFonts w:ascii="SimHei" w:hAnsi="SimHei" w:eastAsia="SimHei" w:cs="SimHei"/>
                <w:sz w:val="22"/>
                <w:szCs w:val="22"/>
                <w:spacing w:val="-16"/>
              </w:rPr>
              <w:t>由非优先权人按照确定的加价幅度进行多次竞价。第一阶段</w:t>
            </w:r>
            <w:r>
              <w:rPr>
                <w:rFonts w:ascii="SimHei" w:hAnsi="SimHei" w:eastAsia="SimHei" w:cs="SimHei"/>
                <w:sz w:val="22"/>
                <w:szCs w:val="22"/>
                <w:spacing w:val="17"/>
              </w:rPr>
              <w:t xml:space="preserve"> </w:t>
            </w:r>
            <w:r>
              <w:rPr>
                <w:rFonts w:ascii="SimHei" w:hAnsi="SimHei" w:eastAsia="SimHei" w:cs="SimHei"/>
                <w:sz w:val="22"/>
                <w:szCs w:val="22"/>
                <w:spacing w:val="-17"/>
              </w:rPr>
              <w:t>竞价分为限时报价期和延时报价期；第一阶段竞价结束后以第一阶段最高报价</w:t>
            </w:r>
            <w:r>
              <w:rPr>
                <w:rFonts w:ascii="SimHei" w:hAnsi="SimHei" w:eastAsia="SimHei" w:cs="SimHei"/>
                <w:sz w:val="22"/>
                <w:szCs w:val="22"/>
                <w:spacing w:val="-18"/>
              </w:rPr>
              <w:t>人(以下简称“最高报价</w:t>
            </w:r>
          </w:p>
        </w:tc>
      </w:tr>
    </w:tbl>
    <w:p>
      <w:pPr>
        <w:pStyle w:val="BodyText"/>
        <w:rPr/>
      </w:pPr>
      <w:r/>
    </w:p>
    <w:p>
      <w:pPr>
        <w:sectPr>
          <w:headerReference w:type="default" r:id="rId4"/>
          <w:footerReference w:type="default" r:id="rId19"/>
          <w:pgSz w:w="11910" w:h="16840"/>
          <w:pgMar w:top="500" w:right="514" w:bottom="467" w:left="449" w:header="238" w:footer="262" w:gutter="0"/>
        </w:sectPr>
        <w:rPr/>
      </w:pPr>
    </w:p>
    <w:p>
      <w:pPr>
        <w:spacing w:before="81"/>
        <w:rPr/>
      </w:pPr>
      <w:r/>
    </w:p>
    <w:p>
      <w:pPr>
        <w:spacing w:before="80"/>
        <w:rPr/>
      </w:pPr>
      <w:r/>
    </w:p>
    <w:tbl>
      <w:tblPr>
        <w:tblStyle w:val="TableNormal"/>
        <w:tblW w:w="9653" w:type="dxa"/>
        <w:tblInd w:w="690" w:type="dxa"/>
        <w:tblLayout w:type="fixed"/>
        <w:tblBorders>
          <w:left w:val="single" w:color="000000" w:sz="4" w:space="0"/>
          <w:bottom w:val="single" w:color="000000" w:sz="4" w:space="0"/>
          <w:right w:val="single" w:color="000000" w:sz="4" w:space="0"/>
          <w:top w:val="single" w:color="000000" w:sz="4" w:space="0"/>
        </w:tblBorders>
      </w:tblPr>
      <w:tblGrid>
        <w:gridCol w:w="9653"/>
      </w:tblGrid>
      <w:tr>
        <w:trPr>
          <w:trHeight w:val="5890" w:hRule="atLeast"/>
        </w:trPr>
        <w:tc>
          <w:tcPr>
            <w:tcW w:w="9653" w:type="dxa"/>
            <w:vAlign w:val="top"/>
          </w:tcPr>
          <w:p>
            <w:pPr>
              <w:pStyle w:val="TableText"/>
              <w:ind w:left="154"/>
              <w:spacing w:before="31" w:line="218" w:lineRule="auto"/>
              <w:rPr>
                <w:sz w:val="21"/>
                <w:szCs w:val="21"/>
              </w:rPr>
            </w:pPr>
            <w:r>
              <w:rPr>
                <w:sz w:val="21"/>
                <w:szCs w:val="21"/>
                <w:spacing w:val="4"/>
              </w:rPr>
              <w:t>人”)的最高报价为第二阶段的竞价底价进入第二阶</w:t>
            </w:r>
            <w:r>
              <w:rPr>
                <w:sz w:val="21"/>
                <w:szCs w:val="21"/>
                <w:spacing w:val="3"/>
              </w:rPr>
              <w:t>段；</w:t>
            </w:r>
          </w:p>
          <w:p>
            <w:pPr>
              <w:pStyle w:val="TableText"/>
              <w:ind w:left="174" w:firstLine="482"/>
              <w:spacing w:before="38" w:line="242" w:lineRule="auto"/>
              <w:rPr>
                <w:sz w:val="21"/>
                <w:szCs w:val="21"/>
              </w:rPr>
            </w:pPr>
            <w:r>
              <w:rPr>
                <w:sz w:val="21"/>
                <w:szCs w:val="21"/>
                <w:b/>
                <w:bCs/>
                <w:spacing w:val="-1"/>
              </w:rPr>
              <w:t>2.第二阶段为网络竞价(正向一次)</w:t>
            </w:r>
            <w:r>
              <w:rPr>
                <w:sz w:val="21"/>
                <w:szCs w:val="21"/>
                <w:spacing w:val="-1"/>
              </w:rPr>
              <w:t>。第一阶段竞价结束后直接进入第二阶段报价，第二阶段以第</w:t>
            </w:r>
            <w:r>
              <w:rPr>
                <w:sz w:val="21"/>
                <w:szCs w:val="21"/>
                <w:spacing w:val="7"/>
              </w:rPr>
              <w:t xml:space="preserve">  </w:t>
            </w:r>
            <w:r>
              <w:rPr>
                <w:sz w:val="21"/>
                <w:szCs w:val="21"/>
                <w:spacing w:val="-4"/>
              </w:rPr>
              <w:t>一阶段的最高报价为起始价，最高报价人可在规定时间内再报一</w:t>
            </w:r>
            <w:r>
              <w:rPr>
                <w:sz w:val="21"/>
                <w:szCs w:val="21"/>
                <w:spacing w:val="-5"/>
              </w:rPr>
              <w:t>次更高价格或放弃报价。若最高报价人在</w:t>
            </w:r>
            <w:r>
              <w:rPr>
                <w:sz w:val="21"/>
                <w:szCs w:val="21"/>
              </w:rPr>
              <w:t xml:space="preserve"> </w:t>
            </w:r>
            <w:r>
              <w:rPr>
                <w:sz w:val="21"/>
                <w:szCs w:val="21"/>
                <w:spacing w:val="-4"/>
              </w:rPr>
              <w:t>规定时间内再报一次更高价格，则该价格为第二阶段最高报价。若最高报价人未在第</w:t>
            </w:r>
            <w:r>
              <w:rPr>
                <w:sz w:val="21"/>
                <w:szCs w:val="21"/>
                <w:spacing w:val="-5"/>
              </w:rPr>
              <w:t>二阶段报价限时时间</w:t>
            </w:r>
            <w:r>
              <w:rPr>
                <w:sz w:val="21"/>
                <w:szCs w:val="21"/>
              </w:rPr>
              <w:t xml:space="preserve"> </w:t>
            </w:r>
            <w:r>
              <w:rPr>
                <w:sz w:val="21"/>
                <w:szCs w:val="21"/>
                <w:spacing w:val="-1"/>
              </w:rPr>
              <w:t>内作出报价则视同最高报价人放弃第二阶段报价。</w:t>
            </w:r>
          </w:p>
          <w:p>
            <w:pPr>
              <w:pStyle w:val="TableText"/>
              <w:ind w:left="174" w:firstLine="492"/>
              <w:spacing w:before="47" w:line="243" w:lineRule="auto"/>
              <w:rPr>
                <w:sz w:val="21"/>
                <w:szCs w:val="21"/>
              </w:rPr>
            </w:pPr>
            <w:r>
              <w:rPr>
                <w:sz w:val="21"/>
                <w:szCs w:val="21"/>
                <w:b/>
                <w:bCs/>
                <w:spacing w:val="-3"/>
              </w:rPr>
              <w:t>3.第三阶段为优先权人行使优先权阶段，非优</w:t>
            </w:r>
            <w:r>
              <w:rPr>
                <w:sz w:val="21"/>
                <w:szCs w:val="21"/>
                <w:b/>
                <w:bCs/>
                <w:spacing w:val="-4"/>
              </w:rPr>
              <w:t>先权人不参与该阶段报价。</w:t>
            </w:r>
            <w:r>
              <w:rPr>
                <w:sz w:val="21"/>
                <w:szCs w:val="21"/>
                <w:spacing w:val="-4"/>
              </w:rPr>
              <w:t>第二阶段报价结束后，交</w:t>
            </w:r>
            <w:r>
              <w:rPr>
                <w:sz w:val="21"/>
                <w:szCs w:val="21"/>
              </w:rPr>
              <w:t xml:space="preserve"> </w:t>
            </w:r>
            <w:r>
              <w:rPr>
                <w:sz w:val="21"/>
                <w:szCs w:val="21"/>
                <w:spacing w:val="-4"/>
              </w:rPr>
              <w:t>易中心设置优先权人行权阶段时限及行权规则，并通过有效方式通知优先权人，由优</w:t>
            </w:r>
            <w:r>
              <w:rPr>
                <w:sz w:val="21"/>
                <w:szCs w:val="21"/>
                <w:spacing w:val="-5"/>
              </w:rPr>
              <w:t>先权人在规定时间内</w:t>
            </w:r>
            <w:r>
              <w:rPr>
                <w:sz w:val="21"/>
                <w:szCs w:val="21"/>
              </w:rPr>
              <w:t xml:space="preserve"> </w:t>
            </w:r>
            <w:r>
              <w:rPr>
                <w:sz w:val="21"/>
                <w:szCs w:val="21"/>
                <w:spacing w:val="-2"/>
              </w:rPr>
              <w:t>对第二阶段的最高报价决定是否行权。若优先权人点击“主张优先权”</w:t>
            </w:r>
            <w:r>
              <w:rPr>
                <w:sz w:val="21"/>
                <w:szCs w:val="21"/>
                <w:spacing w:val="-3"/>
              </w:rPr>
              <w:t>,则由优先权人以第二阶段最高报</w:t>
            </w:r>
            <w:r>
              <w:rPr>
                <w:sz w:val="21"/>
                <w:szCs w:val="21"/>
              </w:rPr>
              <w:t xml:space="preserve"> </w:t>
            </w:r>
            <w:r>
              <w:rPr>
                <w:sz w:val="21"/>
                <w:szCs w:val="21"/>
                <w:spacing w:val="-5"/>
              </w:rPr>
              <w:t>价人的报价取得投资人资格；若优先权人选择“放弃优先权”或未在行权时间内作出选择的，则按以最高</w:t>
            </w:r>
            <w:r>
              <w:rPr>
                <w:sz w:val="21"/>
                <w:szCs w:val="21"/>
                <w:spacing w:val="17"/>
              </w:rPr>
              <w:t xml:space="preserve"> </w:t>
            </w:r>
            <w:r>
              <w:rPr>
                <w:sz w:val="21"/>
                <w:szCs w:val="21"/>
                <w:spacing w:val="-1"/>
              </w:rPr>
              <w:t>报价人的第二阶段最高报价取得投资人资格。</w:t>
            </w:r>
          </w:p>
          <w:p>
            <w:pPr>
              <w:pStyle w:val="TableText"/>
              <w:ind w:left="174" w:right="12" w:firstLine="603"/>
              <w:spacing w:before="39" w:line="242" w:lineRule="auto"/>
              <w:rPr>
                <w:sz w:val="21"/>
                <w:szCs w:val="21"/>
              </w:rPr>
            </w:pPr>
            <w:r>
              <w:rPr>
                <w:sz w:val="21"/>
                <w:szCs w:val="21"/>
                <w:b/>
                <w:bCs/>
                <w:spacing w:val="-4"/>
              </w:rPr>
              <w:t>(注：若第二阶段最高报价人未作出报价，则第三阶段行权价格为第一阶段最高报价；若第一阶段</w:t>
            </w:r>
            <w:r>
              <w:rPr>
                <w:sz w:val="21"/>
                <w:szCs w:val="21"/>
                <w:spacing w:val="3"/>
              </w:rPr>
              <w:t xml:space="preserve"> </w:t>
            </w:r>
            <w:r>
              <w:rPr>
                <w:sz w:val="21"/>
                <w:szCs w:val="21"/>
                <w:spacing w:val="-2"/>
              </w:rPr>
              <w:t>无</w:t>
            </w:r>
            <w:r>
              <w:rPr>
                <w:sz w:val="21"/>
                <w:szCs w:val="21"/>
                <w:b/>
                <w:bCs/>
                <w:spacing w:val="-2"/>
              </w:rPr>
              <w:t>人出价将跳过第二阶段，准备进入第三阶</w:t>
            </w:r>
            <w:r>
              <w:rPr>
                <w:sz w:val="21"/>
                <w:szCs w:val="21"/>
                <w:b/>
                <w:bCs/>
                <w:spacing w:val="-3"/>
              </w:rPr>
              <w:t>段，第三阶段行权价格为项目挂牌价。</w:t>
            </w:r>
            <w:r>
              <w:rPr>
                <w:sz w:val="21"/>
                <w:szCs w:val="21"/>
                <w:spacing w:val="-3"/>
              </w:rPr>
              <w:t>)</w:t>
            </w:r>
          </w:p>
          <w:p>
            <w:pPr>
              <w:pStyle w:val="TableText"/>
              <w:ind w:left="647"/>
              <w:spacing w:before="1" w:line="217" w:lineRule="auto"/>
              <w:rPr>
                <w:sz w:val="21"/>
                <w:szCs w:val="21"/>
              </w:rPr>
            </w:pPr>
            <w:r>
              <w:rPr>
                <w:sz w:val="21"/>
                <w:szCs w:val="21"/>
                <w:b/>
                <w:bCs/>
                <w:spacing w:val="-5"/>
              </w:rPr>
              <w:t>除正向一次、正向多次之外的网络竞价的优先权</w:t>
            </w:r>
            <w:r>
              <w:rPr>
                <w:sz w:val="21"/>
                <w:szCs w:val="21"/>
                <w:b/>
                <w:bCs/>
                <w:spacing w:val="-6"/>
              </w:rPr>
              <w:t>行权方式详见交易公告</w:t>
            </w:r>
            <w:r>
              <w:rPr>
                <w:sz w:val="21"/>
                <w:szCs w:val="21"/>
                <w:spacing w:val="-6"/>
              </w:rPr>
              <w:t>。</w:t>
            </w:r>
          </w:p>
          <w:p>
            <w:pPr>
              <w:pStyle w:val="TableText"/>
              <w:ind w:left="3937"/>
              <w:spacing w:before="224" w:line="219" w:lineRule="auto"/>
              <w:outlineLvl w:val="4"/>
              <w:rPr>
                <w:sz w:val="21"/>
                <w:szCs w:val="21"/>
              </w:rPr>
            </w:pPr>
            <w:r>
              <w:rPr>
                <w:sz w:val="21"/>
                <w:szCs w:val="21"/>
                <w:b/>
                <w:bCs/>
                <w:spacing w:val="-1"/>
              </w:rPr>
              <w:t>九、关于交易成交的说明</w:t>
            </w:r>
          </w:p>
          <w:p>
            <w:pPr>
              <w:pStyle w:val="TableText"/>
              <w:ind w:left="654"/>
              <w:spacing w:before="192" w:line="219" w:lineRule="auto"/>
              <w:rPr>
                <w:sz w:val="21"/>
                <w:szCs w:val="21"/>
              </w:rPr>
            </w:pPr>
            <w:r>
              <w:rPr>
                <w:sz w:val="21"/>
                <w:szCs w:val="21"/>
                <w:spacing w:val="-1"/>
              </w:rPr>
              <w:t>第二十四条本须知所称交易成交是指：</w:t>
            </w:r>
          </w:p>
          <w:p>
            <w:pPr>
              <w:pStyle w:val="TableText"/>
              <w:ind w:left="187" w:right="53" w:firstLine="479"/>
              <w:spacing w:before="17" w:line="233" w:lineRule="auto"/>
              <w:rPr>
                <w:sz w:val="21"/>
                <w:szCs w:val="21"/>
              </w:rPr>
            </w:pPr>
            <w:r>
              <w:rPr>
                <w:sz w:val="21"/>
                <w:szCs w:val="21"/>
                <w:b/>
                <w:bCs/>
                <w:u w:val="single" w:color="auto"/>
                <w:spacing w:val="-2"/>
              </w:rPr>
              <w:t>(一)报名期限届满后，若征集到1家及以上合格意向投资人的，交</w:t>
            </w:r>
            <w:r>
              <w:rPr>
                <w:sz w:val="21"/>
                <w:szCs w:val="21"/>
                <w:b/>
                <w:bCs/>
                <w:u w:val="single" w:color="auto"/>
                <w:spacing w:val="-3"/>
              </w:rPr>
              <w:t>易中心按照公告的要求，确定符</w:t>
            </w:r>
            <w:r>
              <w:rPr>
                <w:sz w:val="21"/>
                <w:szCs w:val="21"/>
              </w:rPr>
              <w:t xml:space="preserve"> </w:t>
            </w:r>
            <w:r>
              <w:rPr>
                <w:sz w:val="21"/>
                <w:szCs w:val="21"/>
                <w:b/>
                <w:bCs/>
                <w:spacing w:val="-3"/>
              </w:rPr>
              <w:t>合签约条件的意向投资人，即视为交易成交；</w:t>
            </w:r>
            <w:r>
              <w:rPr>
                <w:sz w:val="21"/>
                <w:szCs w:val="21"/>
                <w:spacing w:val="-3"/>
              </w:rPr>
              <w:t>_</w:t>
            </w:r>
          </w:p>
          <w:p>
            <w:pPr>
              <w:pStyle w:val="TableText"/>
              <w:ind w:left="764"/>
              <w:spacing w:before="53" w:line="218" w:lineRule="auto"/>
              <w:rPr>
                <w:sz w:val="21"/>
                <w:szCs w:val="21"/>
              </w:rPr>
            </w:pPr>
            <w:r>
              <w:rPr>
                <w:sz w:val="21"/>
                <w:szCs w:val="21"/>
              </w:rPr>
              <w:t>(二)交易中心以及项目公告的交易规则要求的其他应当视为交易</w:t>
            </w:r>
            <w:r>
              <w:rPr>
                <w:sz w:val="21"/>
                <w:szCs w:val="21"/>
                <w:spacing w:val="-1"/>
              </w:rPr>
              <w:t>成交的情形。</w:t>
            </w:r>
          </w:p>
          <w:p>
            <w:pPr>
              <w:pStyle w:val="TableText"/>
              <w:ind w:left="657"/>
              <w:spacing w:before="30" w:line="219" w:lineRule="auto"/>
              <w:rPr>
                <w:sz w:val="21"/>
                <w:szCs w:val="21"/>
              </w:rPr>
            </w:pPr>
            <w:r>
              <w:rPr>
                <w:sz w:val="21"/>
                <w:szCs w:val="21"/>
                <w:b/>
                <w:bCs/>
                <w:spacing w:val="-8"/>
              </w:rPr>
              <w:t>第二十五条本须知的最终解释权归交易中心</w:t>
            </w:r>
            <w:r>
              <w:rPr>
                <w:sz w:val="21"/>
                <w:szCs w:val="21"/>
                <w:spacing w:val="-8"/>
              </w:rPr>
              <w:t>。</w:t>
            </w:r>
          </w:p>
        </w:tc>
      </w:tr>
    </w:tbl>
    <w:p>
      <w:pPr>
        <w:spacing w:before="98"/>
        <w:rPr/>
      </w:pPr>
      <w:r/>
    </w:p>
    <w:tbl>
      <w:tblPr>
        <w:tblStyle w:val="TableNormal"/>
        <w:tblW w:w="9559" w:type="dxa"/>
        <w:tblInd w:w="73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9559"/>
      </w:tblGrid>
      <w:tr>
        <w:trPr>
          <w:trHeight w:val="604" w:hRule="atLeast"/>
        </w:trPr>
        <w:tc>
          <w:tcPr>
            <w:tcW w:w="9559" w:type="dxa"/>
            <w:vAlign w:val="top"/>
          </w:tcPr>
          <w:p>
            <w:pPr>
              <w:pStyle w:val="TableText"/>
              <w:ind w:left="147"/>
              <w:spacing w:before="201" w:line="220" w:lineRule="auto"/>
              <w:rPr>
                <w:sz w:val="21"/>
                <w:szCs w:val="21"/>
              </w:rPr>
            </w:pPr>
            <w:r>
              <w:rPr>
                <w:sz w:val="21"/>
                <w:szCs w:val="21"/>
                <w:b/>
                <w:bCs/>
                <w:spacing w:val="-4"/>
              </w:rPr>
              <w:t>七、风险提示</w:t>
            </w:r>
          </w:p>
        </w:tc>
      </w:tr>
      <w:tr>
        <w:trPr>
          <w:trHeight w:val="2637" w:hRule="atLeast"/>
        </w:trPr>
        <w:tc>
          <w:tcPr>
            <w:tcW w:w="9559" w:type="dxa"/>
            <w:vAlign w:val="top"/>
          </w:tcPr>
          <w:p>
            <w:pPr>
              <w:pStyle w:val="TableText"/>
              <w:ind w:left="144"/>
              <w:spacing w:before="258" w:line="219" w:lineRule="auto"/>
              <w:rPr>
                <w:sz w:val="21"/>
                <w:szCs w:val="21"/>
              </w:rPr>
            </w:pPr>
            <w:r>
              <w:rPr>
                <w:sz w:val="21"/>
                <w:szCs w:val="21"/>
                <w:spacing w:val="1"/>
              </w:rPr>
              <w:t>交易风险提示书</w:t>
            </w:r>
          </w:p>
          <w:p>
            <w:pPr>
              <w:spacing w:line="383" w:lineRule="auto"/>
              <w:rPr>
                <w:rFonts w:ascii="Arial"/>
                <w:sz w:val="21"/>
              </w:rPr>
            </w:pPr>
            <w:r/>
          </w:p>
          <w:p>
            <w:pPr>
              <w:pStyle w:val="TableText"/>
              <w:ind w:left="574"/>
              <w:spacing w:before="65" w:line="219" w:lineRule="auto"/>
              <w:rPr>
                <w:sz w:val="20"/>
                <w:szCs w:val="20"/>
              </w:rPr>
            </w:pPr>
            <w:r>
              <w:rPr>
                <w:sz w:val="20"/>
                <w:szCs w:val="20"/>
              </w:rPr>
              <w:t>特别提示：</w:t>
            </w:r>
            <w:r>
              <w:rPr>
                <w:sz w:val="20"/>
                <w:szCs w:val="20"/>
                <w:u w:val="single" w:color="auto"/>
              </w:rPr>
              <w:t>本交易风险提示书不能取代意向投资人本人的投资判断，也不会降低意向投资人参与</w:t>
            </w:r>
          </w:p>
          <w:p>
            <w:pPr>
              <w:pStyle w:val="TableText"/>
              <w:ind w:left="147" w:right="998" w:firstLine="9"/>
              <w:spacing w:before="50" w:line="315" w:lineRule="auto"/>
              <w:rPr>
                <w:sz w:val="21"/>
                <w:szCs w:val="21"/>
              </w:rPr>
            </w:pPr>
            <w:r>
              <w:rPr>
                <w:sz w:val="20"/>
                <w:szCs w:val="20"/>
                <w:b/>
                <w:bCs/>
                <w:spacing w:val="-2"/>
              </w:rPr>
              <w:t>福建省产权交易中心有限公司(以下简称“交易中心”)各项交易活</w:t>
            </w:r>
            <w:r>
              <w:rPr>
                <w:sz w:val="20"/>
                <w:szCs w:val="20"/>
                <w:b/>
                <w:bCs/>
                <w:spacing w:val="-3"/>
              </w:rPr>
              <w:t>动的所有风险。相应的投资风</w:t>
            </w:r>
            <w:r>
              <w:rPr>
                <w:sz w:val="20"/>
                <w:szCs w:val="20"/>
              </w:rPr>
              <w:t xml:space="preserve"> </w:t>
            </w:r>
            <w:r>
              <w:rPr>
                <w:sz w:val="21"/>
                <w:szCs w:val="21"/>
                <w:b/>
                <w:bCs/>
                <w:u w:val="single" w:color="auto"/>
                <w:spacing w:val="-3"/>
              </w:rPr>
              <w:t>险、履约责任以及费用由意向投资人自行承担。</w:t>
            </w:r>
            <w:r>
              <w:rPr>
                <w:sz w:val="21"/>
                <w:szCs w:val="21"/>
                <w:u w:val="single" w:color="auto"/>
                <w:spacing w:val="15"/>
              </w:rPr>
              <w:t xml:space="preserve"> </w:t>
            </w:r>
          </w:p>
          <w:p>
            <w:pPr>
              <w:pStyle w:val="TableText"/>
              <w:ind w:left="147"/>
              <w:spacing w:before="81" w:line="220" w:lineRule="auto"/>
              <w:rPr>
                <w:sz w:val="21"/>
                <w:szCs w:val="21"/>
              </w:rPr>
            </w:pPr>
            <w:r>
              <w:rPr>
                <w:sz w:val="21"/>
                <w:szCs w:val="21"/>
                <w:b/>
                <w:bCs/>
                <w:spacing w:val="-3"/>
              </w:rPr>
              <w:t>尊敬的意向投资人：</w:t>
            </w:r>
          </w:p>
          <w:p>
            <w:pPr>
              <w:pStyle w:val="TableText"/>
              <w:ind w:left="144"/>
              <w:spacing w:before="109" w:line="211" w:lineRule="auto"/>
              <w:rPr>
                <w:sz w:val="21"/>
                <w:szCs w:val="21"/>
              </w:rPr>
            </w:pPr>
            <w:r>
              <w:rPr>
                <w:sz w:val="21"/>
                <w:szCs w:val="21"/>
                <w:spacing w:val="-2"/>
              </w:rPr>
              <w:t>您</w:t>
            </w:r>
            <w:r>
              <w:rPr>
                <w:sz w:val="21"/>
                <w:szCs w:val="21"/>
                <w:b/>
                <w:bCs/>
                <w:spacing w:val="-2"/>
              </w:rPr>
              <w:t>通过交易中心交易平台【指“福建省产权交易中心微信小程序”及“福建省产权交易中心交易系</w:t>
            </w:r>
          </w:p>
        </w:tc>
      </w:tr>
      <w:tr>
        <w:trPr>
          <w:trHeight w:val="3655" w:hRule="atLeast"/>
        </w:trPr>
        <w:tc>
          <w:tcPr>
            <w:tcW w:w="9559" w:type="dxa"/>
            <w:vAlign w:val="top"/>
          </w:tcPr>
          <w:p>
            <w:pPr>
              <w:pStyle w:val="TableText"/>
              <w:ind w:left="157" w:right="558"/>
              <w:spacing w:before="41" w:line="263" w:lineRule="auto"/>
              <w:jc w:val="both"/>
              <w:rPr>
                <w:sz w:val="20"/>
                <w:szCs w:val="20"/>
              </w:rPr>
            </w:pPr>
            <w:r>
              <w:rPr>
                <w:sz w:val="20"/>
                <w:szCs w:val="20"/>
                <w:b/>
                <w:bCs/>
                <w:u w:val="single" w:color="auto"/>
                <w:spacing w:val="17"/>
              </w:rPr>
              <w:t>统(</w:t>
            </w:r>
            <w:hyperlink w:history="true" r:id="rId10">
              <w:r>
                <w:rPr>
                  <w:sz w:val="20"/>
                  <w:szCs w:val="20"/>
                  <w:b/>
                  <w:bCs/>
                  <w:u w:val="single" w:color="auto"/>
                </w:rPr>
                <w:t>https</w:t>
              </w:r>
              <w:r>
                <w:rPr>
                  <w:sz w:val="20"/>
                  <w:szCs w:val="20"/>
                  <w:b/>
                  <w:bCs/>
                  <w:u w:val="single" w:color="auto"/>
                  <w:spacing w:val="17"/>
                </w:rPr>
                <w:t>://</w:t>
              </w:r>
              <w:r>
                <w:rPr>
                  <w:sz w:val="20"/>
                  <w:szCs w:val="20"/>
                  <w:b/>
                  <w:bCs/>
                  <w:u w:val="single" w:color="auto"/>
                </w:rPr>
                <w:t>biz</w:t>
              </w:r>
              <w:r>
                <w:rPr>
                  <w:sz w:val="20"/>
                  <w:szCs w:val="20"/>
                  <w:b/>
                  <w:bCs/>
                  <w:u w:val="single" w:color="auto"/>
                  <w:spacing w:val="17"/>
                </w:rPr>
                <w:t>.</w:t>
              </w:r>
              <w:r>
                <w:rPr>
                  <w:sz w:val="20"/>
                  <w:szCs w:val="20"/>
                  <w:b/>
                  <w:bCs/>
                  <w:u w:val="single" w:color="auto"/>
                </w:rPr>
                <w:t>fjcqjy</w:t>
              </w:r>
              <w:r>
                <w:rPr>
                  <w:sz w:val="20"/>
                  <w:szCs w:val="20"/>
                  <w:b/>
                  <w:bCs/>
                  <w:u w:val="single" w:color="auto"/>
                  <w:spacing w:val="17"/>
                </w:rPr>
                <w:t>.</w:t>
              </w:r>
              <w:r>
                <w:rPr>
                  <w:sz w:val="20"/>
                  <w:szCs w:val="20"/>
                  <w:b/>
                  <w:bCs/>
                  <w:u w:val="single" w:color="auto"/>
                </w:rPr>
                <w:t>com</w:t>
              </w:r>
              <w:r>
                <w:rPr>
                  <w:sz w:val="20"/>
                  <w:szCs w:val="20"/>
                  <w:b/>
                  <w:bCs/>
                  <w:u w:val="single" w:color="auto"/>
                  <w:spacing w:val="17"/>
                </w:rPr>
                <w:t>/#/</w:t>
              </w:r>
              <w:r>
                <w:rPr>
                  <w:sz w:val="20"/>
                  <w:szCs w:val="20"/>
                  <w:b/>
                  <w:bCs/>
                  <w:u w:val="single" w:color="auto"/>
                </w:rPr>
                <w:t>login</w:t>
              </w:r>
            </w:hyperlink>
            <w:r>
              <w:rPr>
                <w:sz w:val="20"/>
                <w:szCs w:val="20"/>
                <w:b/>
                <w:bCs/>
                <w:u w:val="single" w:color="auto"/>
                <w:spacing w:val="17"/>
              </w:rPr>
              <w:t>)”,</w:t>
            </w:r>
            <w:r>
              <w:rPr>
                <w:sz w:val="20"/>
                <w:szCs w:val="20"/>
                <w:b/>
                <w:bCs/>
                <w:spacing w:val="17"/>
              </w:rPr>
              <w:t>下同】参与交易时，</w:t>
            </w:r>
            <w:r>
              <w:rPr>
                <w:sz w:val="20"/>
                <w:szCs w:val="20"/>
                <w:b/>
                <w:bCs/>
                <w:spacing w:val="16"/>
              </w:rPr>
              <w:t>可能会存在因交易、投资带来</w:t>
            </w:r>
            <w:r>
              <w:rPr>
                <w:sz w:val="20"/>
                <w:szCs w:val="20"/>
              </w:rPr>
              <w:t xml:space="preserve">  </w:t>
            </w:r>
            <w:r>
              <w:rPr>
                <w:sz w:val="20"/>
                <w:szCs w:val="20"/>
                <w:b/>
                <w:bCs/>
                <w:spacing w:val="-2"/>
              </w:rPr>
              <w:t>的收益不确定性风险。本风险提示书旨在让您更好地了解其中的风险，审慎做出交易决策。您</w:t>
            </w:r>
            <w:r>
              <w:rPr>
                <w:sz w:val="20"/>
                <w:szCs w:val="20"/>
                <w:b/>
                <w:bCs/>
                <w:spacing w:val="-3"/>
              </w:rPr>
              <w:t>在提交</w:t>
            </w:r>
            <w:r>
              <w:rPr>
                <w:sz w:val="20"/>
                <w:szCs w:val="20"/>
              </w:rPr>
              <w:t xml:space="preserve">  </w:t>
            </w:r>
            <w:r>
              <w:rPr>
                <w:sz w:val="20"/>
                <w:szCs w:val="20"/>
                <w:b/>
                <w:bCs/>
                <w:spacing w:val="-1"/>
              </w:rPr>
              <w:t>交易申请前，请仔细阅读并确保自己理解本风险提示书的全部</w:t>
            </w:r>
            <w:r>
              <w:rPr>
                <w:sz w:val="20"/>
                <w:szCs w:val="20"/>
                <w:b/>
                <w:bCs/>
                <w:spacing w:val="-2"/>
              </w:rPr>
              <w:t>内容，了解交易须知、交易规则、项目</w:t>
            </w:r>
            <w:r>
              <w:rPr>
                <w:sz w:val="20"/>
                <w:szCs w:val="20"/>
              </w:rPr>
              <w:t xml:space="preserve"> </w:t>
            </w:r>
            <w:r>
              <w:rPr>
                <w:sz w:val="20"/>
                <w:szCs w:val="20"/>
                <w:b/>
                <w:bCs/>
                <w:spacing w:val="-1"/>
              </w:rPr>
              <w:t>公告、申请人承诺等相关文件的规定，并结合自身</w:t>
            </w:r>
            <w:r>
              <w:rPr>
                <w:sz w:val="20"/>
                <w:szCs w:val="20"/>
                <w:b/>
                <w:bCs/>
                <w:spacing w:val="-2"/>
              </w:rPr>
              <w:t>的投资经验、目标、财务状况、风险承受能力等自</w:t>
            </w:r>
            <w:r>
              <w:rPr>
                <w:sz w:val="20"/>
                <w:szCs w:val="20"/>
              </w:rPr>
              <w:t xml:space="preserve"> </w:t>
            </w:r>
            <w:r>
              <w:rPr>
                <w:sz w:val="20"/>
                <w:szCs w:val="20"/>
                <w:b/>
                <w:bCs/>
                <w:spacing w:val="-2"/>
              </w:rPr>
              <w:t>行决定是否参与交易。对本风险提示书有不理解的地方请及时</w:t>
            </w:r>
            <w:r>
              <w:rPr>
                <w:sz w:val="20"/>
                <w:szCs w:val="20"/>
                <w:b/>
                <w:bCs/>
                <w:spacing w:val="-3"/>
              </w:rPr>
              <w:t>咨询交易中心相关人员。</w:t>
            </w:r>
          </w:p>
          <w:p>
            <w:pPr>
              <w:pStyle w:val="TableText"/>
              <w:ind w:left="565"/>
              <w:spacing w:before="16" w:line="220" w:lineRule="auto"/>
              <w:rPr>
                <w:sz w:val="20"/>
                <w:szCs w:val="20"/>
              </w:rPr>
            </w:pPr>
            <w:r>
              <w:rPr>
                <w:sz w:val="20"/>
                <w:szCs w:val="20"/>
              </w:rPr>
              <w:t>意向投资人可能面对的风险包括但不限于：</w:t>
            </w:r>
          </w:p>
          <w:p>
            <w:pPr>
              <w:pStyle w:val="TableText"/>
              <w:ind w:left="567"/>
              <w:spacing w:before="8" w:line="219" w:lineRule="auto"/>
              <w:rPr>
                <w:sz w:val="20"/>
                <w:szCs w:val="20"/>
              </w:rPr>
            </w:pPr>
            <w:r>
              <w:rPr>
                <w:sz w:val="20"/>
                <w:szCs w:val="20"/>
                <w:b/>
                <w:bCs/>
                <w:spacing w:val="-5"/>
              </w:rPr>
              <w:t>一、经济和市场风险</w:t>
            </w:r>
          </w:p>
          <w:p>
            <w:pPr>
              <w:pStyle w:val="TableText"/>
              <w:ind w:left="154" w:firstLine="399"/>
              <w:spacing w:before="73" w:line="258" w:lineRule="auto"/>
              <w:rPr>
                <w:sz w:val="20"/>
                <w:szCs w:val="20"/>
              </w:rPr>
            </w:pPr>
            <w:r>
              <w:rPr>
                <w:sz w:val="20"/>
                <w:szCs w:val="20"/>
              </w:rPr>
              <w:t>因经济、市场环境变化或国家法律法规、政策变化，可能导致交易标的价值波动，甚至</w:t>
            </w:r>
            <w:r>
              <w:rPr>
                <w:sz w:val="20"/>
                <w:szCs w:val="20"/>
                <w:spacing w:val="-1"/>
              </w:rPr>
              <w:t>导致交易中心无</w:t>
            </w:r>
            <w:r>
              <w:rPr>
                <w:sz w:val="20"/>
                <w:szCs w:val="20"/>
              </w:rPr>
              <w:t xml:space="preserve"> </w:t>
            </w:r>
            <w:r>
              <w:rPr>
                <w:sz w:val="20"/>
                <w:szCs w:val="20"/>
                <w:spacing w:val="-4"/>
              </w:rPr>
              <w:t>法继续为意向投资人提供交易服务，</w:t>
            </w:r>
            <w:r>
              <w:rPr>
                <w:sz w:val="20"/>
                <w:szCs w:val="20"/>
                <w:b/>
                <w:bCs/>
                <w:u w:val="single" w:color="auto"/>
                <w:spacing w:val="-4"/>
              </w:rPr>
              <w:t>交易中心不向相关方承担由此产生的损失</w:t>
            </w:r>
            <w:r>
              <w:rPr>
                <w:sz w:val="20"/>
                <w:szCs w:val="20"/>
                <w:u w:val="single" w:color="auto"/>
                <w:spacing w:val="-4"/>
              </w:rPr>
              <w:t>。</w:t>
            </w:r>
          </w:p>
          <w:p>
            <w:pPr>
              <w:pStyle w:val="TableText"/>
              <w:ind w:left="557"/>
              <w:spacing w:line="219" w:lineRule="auto"/>
              <w:rPr>
                <w:sz w:val="20"/>
                <w:szCs w:val="20"/>
              </w:rPr>
            </w:pPr>
            <w:r>
              <w:rPr>
                <w:sz w:val="20"/>
                <w:szCs w:val="20"/>
                <w:b/>
                <w:bCs/>
                <w:spacing w:val="-4"/>
              </w:rPr>
              <w:t>二、信息披露风险</w:t>
            </w:r>
          </w:p>
          <w:p>
            <w:pPr>
              <w:pStyle w:val="TableText"/>
              <w:ind w:left="144" w:right="63" w:firstLine="429"/>
              <w:spacing w:before="64" w:line="229" w:lineRule="auto"/>
              <w:jc w:val="both"/>
              <w:rPr>
                <w:sz w:val="20"/>
                <w:szCs w:val="20"/>
              </w:rPr>
            </w:pPr>
            <w:r>
              <w:rPr>
                <w:sz w:val="20"/>
                <w:szCs w:val="20"/>
              </w:rPr>
              <w:t>交易中心披露的交易标的相关信息(包括但不限于正式披露公告信息以及交易标的图片、名称、文字描</w:t>
            </w:r>
            <w:r>
              <w:rPr>
                <w:sz w:val="20"/>
                <w:szCs w:val="20"/>
                <w:spacing w:val="10"/>
              </w:rPr>
              <w:t xml:space="preserve"> </w:t>
            </w:r>
            <w:r>
              <w:rPr>
                <w:sz w:val="20"/>
                <w:szCs w:val="20"/>
                <w:spacing w:val="13"/>
              </w:rPr>
              <w:t>述及其他相关信息等</w:t>
            </w:r>
            <w:r>
              <w:rPr>
                <w:sz w:val="20"/>
                <w:szCs w:val="20"/>
                <w:b/>
                <w:bCs/>
                <w:spacing w:val="13"/>
              </w:rPr>
              <w:t>)</w:t>
            </w:r>
            <w:r>
              <w:rPr>
                <w:sz w:val="20"/>
                <w:szCs w:val="20"/>
                <w:b/>
                <w:bCs/>
                <w:u w:val="single" w:color="auto"/>
                <w:spacing w:val="13"/>
              </w:rPr>
              <w:t>系交易中心根据委托方提供的信息内容进行发布，交</w:t>
            </w:r>
            <w:r>
              <w:rPr>
                <w:sz w:val="20"/>
                <w:szCs w:val="20"/>
                <w:b/>
                <w:bCs/>
                <w:u w:val="single" w:color="auto"/>
                <w:spacing w:val="12"/>
              </w:rPr>
              <w:t>易中心仅对信息披露的规</w:t>
            </w:r>
            <w:r>
              <w:rPr>
                <w:sz w:val="20"/>
                <w:szCs w:val="20"/>
              </w:rPr>
              <w:t xml:space="preserve"> </w:t>
            </w:r>
            <w:r>
              <w:rPr>
                <w:sz w:val="20"/>
                <w:szCs w:val="20"/>
                <w:b/>
                <w:bCs/>
                <w:spacing w:val="10"/>
              </w:rPr>
              <w:t>范性负责，不保证披露交易标的相关信息的真实性、完整性和准确</w:t>
            </w:r>
            <w:r>
              <w:rPr>
                <w:sz w:val="20"/>
                <w:szCs w:val="20"/>
                <w:b/>
                <w:bCs/>
                <w:spacing w:val="9"/>
              </w:rPr>
              <w:t>性，不保证披露交易标的的名称</w:t>
            </w:r>
            <w:r>
              <w:rPr>
                <w:sz w:val="20"/>
                <w:szCs w:val="20"/>
                <w:spacing w:val="9"/>
              </w:rPr>
              <w:t>、</w:t>
            </w:r>
          </w:p>
        </w:tc>
      </w:tr>
      <w:tr>
        <w:trPr>
          <w:trHeight w:val="1194" w:hRule="atLeast"/>
        </w:trPr>
        <w:tc>
          <w:tcPr>
            <w:tcW w:w="9559" w:type="dxa"/>
            <w:vAlign w:val="top"/>
          </w:tcPr>
          <w:p>
            <w:pPr>
              <w:pStyle w:val="TableText"/>
              <w:ind w:left="144" w:right="14" w:firstLine="2"/>
              <w:spacing w:before="82" w:line="262" w:lineRule="auto"/>
              <w:jc w:val="both"/>
              <w:rPr>
                <w:sz w:val="20"/>
                <w:szCs w:val="20"/>
              </w:rPr>
            </w:pPr>
            <w:r>
              <w:rPr>
                <w:sz w:val="20"/>
                <w:szCs w:val="20"/>
                <w:b/>
                <w:bCs/>
                <w:spacing w:val="6"/>
              </w:rPr>
              <w:t>图片、描述与交易标的实际相符，交易中心也不对交易标的做任何担保</w:t>
            </w:r>
            <w:r>
              <w:rPr>
                <w:sz w:val="20"/>
                <w:szCs w:val="20"/>
                <w:spacing w:val="6"/>
              </w:rPr>
              <w:t>。意向投资</w:t>
            </w:r>
            <w:r>
              <w:rPr>
                <w:sz w:val="20"/>
                <w:szCs w:val="20"/>
                <w:spacing w:val="5"/>
              </w:rPr>
              <w:t>人在决定参与交易活</w:t>
            </w:r>
            <w:r>
              <w:rPr>
                <w:sz w:val="20"/>
                <w:szCs w:val="20"/>
              </w:rPr>
              <w:t xml:space="preserve">  </w:t>
            </w:r>
            <w:r>
              <w:rPr>
                <w:sz w:val="20"/>
                <w:szCs w:val="20"/>
              </w:rPr>
              <w:t>动前，应对交易标的进行充分全面了解。意向投资人应当在提交交易申请前</w:t>
            </w:r>
            <w:r>
              <w:rPr>
                <w:sz w:val="20"/>
                <w:szCs w:val="20"/>
                <w:spacing w:val="-1"/>
              </w:rPr>
              <w:t>，对交易标的进行尽职调查。</w:t>
            </w:r>
            <w:r>
              <w:rPr>
                <w:sz w:val="20"/>
                <w:szCs w:val="20"/>
                <w:b/>
                <w:bCs/>
                <w:spacing w:val="-1"/>
              </w:rPr>
              <w:t>意</w:t>
            </w:r>
            <w:r>
              <w:rPr>
                <w:sz w:val="20"/>
                <w:szCs w:val="20"/>
              </w:rPr>
              <w:t xml:space="preserve"> </w:t>
            </w:r>
            <w:r>
              <w:rPr>
                <w:sz w:val="20"/>
                <w:szCs w:val="20"/>
                <w:b/>
                <w:bCs/>
                <w:u w:val="single" w:color="auto"/>
                <w:spacing w:val="-2"/>
              </w:rPr>
              <w:t>向投资人交纳交易保证金即表明认可交易标的现状(包括但不限于交易标的的数量、质量、新</w:t>
            </w:r>
            <w:r>
              <w:rPr>
                <w:sz w:val="20"/>
                <w:szCs w:val="20"/>
                <w:b/>
                <w:bCs/>
                <w:u w:val="single" w:color="auto"/>
                <w:spacing w:val="-3"/>
              </w:rPr>
              <w:t>旧程</w:t>
            </w:r>
          </w:p>
          <w:p>
            <w:pPr>
              <w:pStyle w:val="TableText"/>
              <w:ind w:left="147"/>
              <w:spacing w:line="219" w:lineRule="auto"/>
              <w:rPr>
                <w:sz w:val="20"/>
                <w:szCs w:val="20"/>
              </w:rPr>
            </w:pPr>
            <w:r>
              <w:rPr>
                <w:sz w:val="20"/>
                <w:szCs w:val="20"/>
                <w:b/>
                <w:bCs/>
                <w:spacing w:val="-2"/>
              </w:rPr>
              <w:t>度、功能、瑕疵等)。意向投资人应自行承担可能由此产生的损失。</w:t>
            </w:r>
          </w:p>
        </w:tc>
      </w:tr>
    </w:tbl>
    <w:p>
      <w:pPr>
        <w:pStyle w:val="BodyText"/>
        <w:rPr/>
      </w:pPr>
      <w:r/>
    </w:p>
    <w:p>
      <w:pPr>
        <w:sectPr>
          <w:headerReference w:type="default" r:id="rId20"/>
          <w:footerReference w:type="default" r:id="rId21"/>
          <w:pgSz w:w="11910" w:h="16840"/>
          <w:pgMar w:top="500" w:right="521" w:bottom="467" w:left="449" w:header="238" w:footer="262" w:gutter="0"/>
        </w:sectPr>
        <w:rPr/>
      </w:pPr>
    </w:p>
    <w:p>
      <w:pPr>
        <w:pStyle w:val="BodyText"/>
        <w:spacing w:line="294" w:lineRule="auto"/>
        <w:rPr/>
      </w:pPr>
      <w:r/>
    </w:p>
    <w:p>
      <w:pPr>
        <w:pStyle w:val="BodyText"/>
        <w:spacing w:line="295" w:lineRule="auto"/>
        <w:rPr/>
      </w:pPr>
      <w:r>
        <w:drawing>
          <wp:anchor distT="0" distB="0" distL="0" distR="0" simplePos="0" relativeHeight="251658240" behindDoc="0" locked="0" layoutInCell="1" allowOverlap="1">
            <wp:simplePos x="0" y="0"/>
            <wp:positionH relativeFrom="column">
              <wp:posOffset>431838</wp:posOffset>
            </wp:positionH>
            <wp:positionV relativeFrom="paragraph">
              <wp:posOffset>192907</wp:posOffset>
            </wp:positionV>
            <wp:extent cx="12705" cy="9296413"/>
            <wp:effectExtent l="0" t="0" r="0" b="0"/>
            <wp:wrapNone/>
            <wp:docPr id="2" name="IM 2"/>
            <wp:cNvGraphicFramePr/>
            <a:graphic>
              <a:graphicData uri="http://schemas.openxmlformats.org/drawingml/2006/picture">
                <pic:pic>
                  <pic:nvPicPr>
                    <pic:cNvPr id="2" name="IM 2"/>
                    <pic:cNvPicPr/>
                  </pic:nvPicPr>
                  <pic:blipFill>
                    <a:blip r:embed="rId24"/>
                    <a:stretch>
                      <a:fillRect/>
                    </a:stretch>
                  </pic:blipFill>
                  <pic:spPr>
                    <a:xfrm rot="0">
                      <a:off x="0" y="0"/>
                      <a:ext cx="12705" cy="9296413"/>
                    </a:xfrm>
                    <a:prstGeom prst="rect">
                      <a:avLst/>
                    </a:prstGeom>
                  </pic:spPr>
                </pic:pic>
              </a:graphicData>
            </a:graphic>
          </wp:anchor>
        </w:drawing>
      </w:r>
      <w:r/>
    </w:p>
    <w:p>
      <w:pPr>
        <w:ind w:left="1280"/>
        <w:spacing w:before="65" w:line="220" w:lineRule="auto"/>
        <w:rPr>
          <w:rFonts w:ascii="SimSun" w:hAnsi="SimSun" w:eastAsia="SimSun" w:cs="SimSun"/>
          <w:sz w:val="20"/>
          <w:szCs w:val="20"/>
        </w:rPr>
      </w:pPr>
      <w:r>
        <w:rPr>
          <w:rFonts w:ascii="SimSun" w:hAnsi="SimSun" w:eastAsia="SimSun" w:cs="SimSun"/>
          <w:sz w:val="20"/>
          <w:szCs w:val="20"/>
          <w:spacing w:val="1"/>
        </w:rPr>
        <w:t>三</w:t>
      </w:r>
      <w:r>
        <w:rPr>
          <w:rFonts w:ascii="SimSun" w:hAnsi="SimSun" w:eastAsia="SimSun" w:cs="SimSun"/>
          <w:sz w:val="20"/>
          <w:szCs w:val="20"/>
          <w:spacing w:val="-49"/>
        </w:rPr>
        <w:t xml:space="preserve"> </w:t>
      </w:r>
      <w:r>
        <w:rPr>
          <w:rFonts w:ascii="SimSun" w:hAnsi="SimSun" w:eastAsia="SimSun" w:cs="SimSun"/>
          <w:sz w:val="20"/>
          <w:szCs w:val="20"/>
          <w:spacing w:val="1"/>
        </w:rPr>
        <w:t>、交易风险</w:t>
      </w:r>
    </w:p>
    <w:p>
      <w:pPr>
        <w:ind w:left="1280"/>
        <w:spacing w:before="41" w:line="219" w:lineRule="auto"/>
        <w:rPr>
          <w:rFonts w:ascii="SimSun" w:hAnsi="SimSun" w:eastAsia="SimSun" w:cs="SimSun"/>
          <w:sz w:val="20"/>
          <w:szCs w:val="20"/>
        </w:rPr>
      </w:pPr>
      <w:r>
        <w:rPr>
          <w:rFonts w:ascii="SimSun" w:hAnsi="SimSun" w:eastAsia="SimSun" w:cs="SimSun"/>
          <w:sz w:val="20"/>
          <w:szCs w:val="20"/>
          <w:spacing w:val="10"/>
        </w:rPr>
        <w:t>意向投资人在交易过程中，可能面对以下风险，意向投资人应自行承担由此产生的损失。</w:t>
      </w:r>
    </w:p>
    <w:p>
      <w:pPr>
        <w:ind w:left="860" w:right="846" w:firstLine="420"/>
        <w:spacing w:before="70" w:line="246" w:lineRule="auto"/>
        <w:rPr>
          <w:rFonts w:ascii="SimSun" w:hAnsi="SimSun" w:eastAsia="SimSun" w:cs="SimSun"/>
          <w:sz w:val="20"/>
          <w:szCs w:val="20"/>
        </w:rPr>
      </w:pPr>
      <w:r>
        <w:rPr>
          <w:rFonts w:ascii="Times New Roman" w:hAnsi="Times New Roman" w:eastAsia="Times New Roman" w:cs="Times New Roman"/>
          <w:sz w:val="20"/>
          <w:szCs w:val="20"/>
          <w:spacing w:val="-1"/>
        </w:rPr>
        <w:t>1.</w:t>
      </w:r>
      <w:r>
        <w:rPr>
          <w:rFonts w:ascii="Times New Roman" w:hAnsi="Times New Roman" w:eastAsia="Times New Roman" w:cs="Times New Roman"/>
          <w:sz w:val="20"/>
          <w:szCs w:val="20"/>
          <w:spacing w:val="52"/>
        </w:rPr>
        <w:t xml:space="preserve"> </w:t>
      </w:r>
      <w:r>
        <w:rPr>
          <w:rFonts w:ascii="SimSun" w:hAnsi="SimSun" w:eastAsia="SimSun" w:cs="SimSun"/>
          <w:sz w:val="20"/>
          <w:szCs w:val="20"/>
          <w:spacing w:val="-1"/>
        </w:rPr>
        <w:t>交易保证金不予退还风险。意向投资人未按照项目公告等规定参与交易或履行相关义务的，其交纳</w:t>
      </w:r>
      <w:r>
        <w:rPr>
          <w:rFonts w:ascii="SimSun" w:hAnsi="SimSun" w:eastAsia="SimSun" w:cs="SimSun"/>
          <w:sz w:val="20"/>
          <w:szCs w:val="20"/>
        </w:rPr>
        <w:t xml:space="preserve"> </w:t>
      </w:r>
      <w:r>
        <w:rPr>
          <w:rFonts w:ascii="SimSun" w:hAnsi="SimSun" w:eastAsia="SimSun" w:cs="SimSun"/>
          <w:sz w:val="20"/>
          <w:szCs w:val="20"/>
          <w:spacing w:val="3"/>
        </w:rPr>
        <w:t>的交易保证金可能不予退还或产生其他不利后果。</w:t>
      </w:r>
      <w:r>
        <w:rPr>
          <w:rFonts w:ascii="SimSun" w:hAnsi="SimSun" w:eastAsia="SimSun" w:cs="SimSun"/>
          <w:sz w:val="20"/>
          <w:szCs w:val="20"/>
          <w:u w:val="single" w:color="auto"/>
          <w:spacing w:val="3"/>
        </w:rPr>
        <w:t>意</w:t>
      </w:r>
      <w:r>
        <w:rPr>
          <w:rFonts w:ascii="SimSun" w:hAnsi="SimSun" w:eastAsia="SimSun" w:cs="SimSun"/>
          <w:sz w:val="20"/>
          <w:szCs w:val="20"/>
          <w:u w:val="single" w:color="auto"/>
          <w:spacing w:val="2"/>
        </w:rPr>
        <w:t>向投资人在提交交易申请前，请认真阅读项目公告</w:t>
      </w:r>
      <w:r>
        <w:rPr>
          <w:rFonts w:ascii="SimSun" w:hAnsi="SimSun" w:eastAsia="SimSun" w:cs="SimSun"/>
          <w:sz w:val="20"/>
          <w:szCs w:val="20"/>
        </w:rPr>
        <w:t xml:space="preserve">  </w:t>
      </w:r>
      <w:r>
        <w:rPr>
          <w:rFonts w:ascii="SimSun" w:hAnsi="SimSun" w:eastAsia="SimSun" w:cs="SimSun"/>
          <w:sz w:val="20"/>
          <w:szCs w:val="20"/>
          <w:u w:val="single" w:color="auto"/>
          <w:spacing w:val="1"/>
        </w:rPr>
        <w:t>等关于交易保证金处置的内容。</w:t>
      </w:r>
      <w:r>
        <w:rPr>
          <w:rFonts w:ascii="SimSun" w:hAnsi="SimSun" w:eastAsia="SimSun" w:cs="SimSun"/>
          <w:sz w:val="20"/>
          <w:szCs w:val="20"/>
          <w:u w:val="single" w:color="auto"/>
          <w:spacing w:val="2"/>
        </w:rPr>
        <w:t xml:space="preserve">  </w:t>
      </w:r>
    </w:p>
    <w:p>
      <w:pPr>
        <w:ind w:left="860" w:right="750" w:firstLine="420"/>
        <w:spacing w:before="60" w:line="249" w:lineRule="auto"/>
        <w:rPr>
          <w:rFonts w:ascii="SimSun" w:hAnsi="SimSun" w:eastAsia="SimSun" w:cs="SimSun"/>
          <w:sz w:val="20"/>
          <w:szCs w:val="20"/>
        </w:rPr>
      </w:pPr>
      <w:r>
        <w:rPr>
          <w:rFonts w:ascii="Times New Roman" w:hAnsi="Times New Roman" w:eastAsia="Times New Roman" w:cs="Times New Roman"/>
          <w:sz w:val="20"/>
          <w:szCs w:val="20"/>
          <w:spacing w:val="-1"/>
        </w:rPr>
        <w:t>2.</w:t>
      </w:r>
      <w:r>
        <w:rPr>
          <w:rFonts w:ascii="Times New Roman" w:hAnsi="Times New Roman" w:eastAsia="Times New Roman" w:cs="Times New Roman"/>
          <w:sz w:val="20"/>
          <w:szCs w:val="20"/>
          <w:spacing w:val="57"/>
        </w:rPr>
        <w:t xml:space="preserve"> </w:t>
      </w:r>
      <w:r>
        <w:rPr>
          <w:rFonts w:ascii="SimSun" w:hAnsi="SimSun" w:eastAsia="SimSun" w:cs="SimSun"/>
          <w:sz w:val="20"/>
          <w:szCs w:val="20"/>
          <w:spacing w:val="-1"/>
        </w:rPr>
        <w:t>中止、终结交易风险。交易过程中发生包括但不限于交易标的权属纠纷、法院判决、行政行为、交</w:t>
      </w:r>
      <w:r>
        <w:rPr>
          <w:rFonts w:ascii="SimSun" w:hAnsi="SimSun" w:eastAsia="SimSun" w:cs="SimSun"/>
          <w:sz w:val="20"/>
          <w:szCs w:val="20"/>
        </w:rPr>
        <w:t xml:space="preserve">  </w:t>
      </w:r>
      <w:r>
        <w:rPr>
          <w:rFonts w:ascii="SimSun" w:hAnsi="SimSun" w:eastAsia="SimSun" w:cs="SimSun"/>
          <w:sz w:val="20"/>
          <w:szCs w:val="20"/>
          <w:spacing w:val="-5"/>
        </w:rPr>
        <w:t>易中心指定的交易中心平台网络竞价系统软硬件故障或网络故障、公</w:t>
      </w:r>
      <w:r>
        <w:rPr>
          <w:rFonts w:ascii="SimSun" w:hAnsi="SimSun" w:eastAsia="SimSun" w:cs="SimSun"/>
          <w:sz w:val="20"/>
          <w:szCs w:val="20"/>
          <w:spacing w:val="-6"/>
        </w:rPr>
        <w:t>告期间出现影响交易活动正常进行的情</w:t>
      </w:r>
      <w:r>
        <w:rPr>
          <w:rFonts w:ascii="SimSun" w:hAnsi="SimSun" w:eastAsia="SimSun" w:cs="SimSun"/>
          <w:sz w:val="20"/>
          <w:szCs w:val="20"/>
        </w:rPr>
        <w:t xml:space="preserve">  </w:t>
      </w:r>
      <w:r>
        <w:rPr>
          <w:rFonts w:ascii="SimSun" w:hAnsi="SimSun" w:eastAsia="SimSun" w:cs="SimSun"/>
          <w:sz w:val="20"/>
          <w:szCs w:val="20"/>
        </w:rPr>
        <w:t>形以及有关当事人提出中止信息披露书面申请和有关材</w:t>
      </w:r>
      <w:r>
        <w:rPr>
          <w:rFonts w:ascii="SimSun" w:hAnsi="SimSun" w:eastAsia="SimSun" w:cs="SimSun"/>
          <w:sz w:val="20"/>
          <w:szCs w:val="20"/>
          <w:spacing w:val="-1"/>
        </w:rPr>
        <w:t>料后，</w:t>
      </w:r>
      <w:r>
        <w:rPr>
          <w:rFonts w:ascii="SimSun" w:hAnsi="SimSun" w:eastAsia="SimSun" w:cs="SimSun"/>
          <w:sz w:val="20"/>
          <w:szCs w:val="20"/>
          <w:u w:val="single" w:color="auto"/>
          <w:spacing w:val="-1"/>
        </w:rPr>
        <w:t>交易中心可以做出中止或终结交易的决定，</w:t>
      </w:r>
      <w:r>
        <w:rPr>
          <w:rFonts w:ascii="SimSun" w:hAnsi="SimSun" w:eastAsia="SimSun" w:cs="SimSun"/>
          <w:sz w:val="20"/>
          <w:szCs w:val="20"/>
          <w:u w:val="single" w:color="auto"/>
          <w:spacing w:val="45"/>
        </w:rPr>
        <w:t xml:space="preserve"> </w:t>
      </w:r>
      <w:r>
        <w:rPr>
          <w:rFonts w:ascii="SimSun" w:hAnsi="SimSun" w:eastAsia="SimSun" w:cs="SimSun"/>
          <w:sz w:val="20"/>
          <w:szCs w:val="20"/>
        </w:rPr>
        <w:t xml:space="preserve"> </w:t>
      </w:r>
      <w:r>
        <w:rPr>
          <w:rFonts w:ascii="SimSun" w:hAnsi="SimSun" w:eastAsia="SimSun" w:cs="SimSun"/>
          <w:sz w:val="20"/>
          <w:szCs w:val="20"/>
          <w:u w:val="single" w:color="auto"/>
          <w:spacing w:val="5"/>
        </w:rPr>
        <w:t>意向投资人自行承担由此给意向投资人带来的风险与损失。</w:t>
      </w:r>
      <w:r>
        <w:rPr>
          <w:rFonts w:ascii="SimSun" w:hAnsi="SimSun" w:eastAsia="SimSun" w:cs="SimSun"/>
          <w:sz w:val="20"/>
          <w:szCs w:val="20"/>
          <w:u w:val="single" w:color="auto"/>
          <w:spacing w:val="4"/>
        </w:rPr>
        <w:t xml:space="preserve">  </w:t>
      </w:r>
    </w:p>
    <w:p>
      <w:pPr>
        <w:ind w:left="860" w:right="816" w:firstLine="420"/>
        <w:spacing w:before="51" w:line="249" w:lineRule="auto"/>
        <w:rPr>
          <w:rFonts w:ascii="SimSun" w:hAnsi="SimSun" w:eastAsia="SimSun" w:cs="SimSun"/>
          <w:sz w:val="20"/>
          <w:szCs w:val="20"/>
        </w:rPr>
      </w:pPr>
      <w:r>
        <w:rPr>
          <w:rFonts w:ascii="Times New Roman" w:hAnsi="Times New Roman" w:eastAsia="Times New Roman" w:cs="Times New Roman"/>
          <w:sz w:val="20"/>
          <w:szCs w:val="20"/>
          <w:spacing w:val="4"/>
        </w:rPr>
        <w:t>3.</w:t>
      </w:r>
      <w:r>
        <w:rPr>
          <w:rFonts w:ascii="Times New Roman" w:hAnsi="Times New Roman" w:eastAsia="Times New Roman" w:cs="Times New Roman"/>
          <w:sz w:val="20"/>
          <w:szCs w:val="20"/>
          <w:spacing w:val="45"/>
          <w:w w:val="101"/>
        </w:rPr>
        <w:t xml:space="preserve"> </w:t>
      </w:r>
      <w:r>
        <w:rPr>
          <w:rFonts w:ascii="SimSun" w:hAnsi="SimSun" w:eastAsia="SimSun" w:cs="SimSun"/>
          <w:sz w:val="20"/>
          <w:szCs w:val="20"/>
          <w:spacing w:val="4"/>
        </w:rPr>
        <w:t>互联网操作风险。通过交易中心平台参与交易，</w:t>
      </w:r>
      <w:r>
        <w:rPr>
          <w:rFonts w:ascii="SimSun" w:hAnsi="SimSun" w:eastAsia="SimSun" w:cs="SimSun"/>
          <w:sz w:val="20"/>
          <w:szCs w:val="20"/>
          <w:spacing w:val="-84"/>
        </w:rPr>
        <w:t xml:space="preserve"> </w:t>
      </w:r>
      <w:r>
        <w:rPr>
          <w:rFonts w:ascii="SimSun" w:hAnsi="SimSun" w:eastAsia="SimSun" w:cs="SimSun"/>
          <w:sz w:val="20"/>
          <w:szCs w:val="20"/>
          <w:u w:val="single" w:color="auto"/>
          <w:spacing w:val="-86"/>
        </w:rPr>
        <w:t xml:space="preserve"> </w:t>
      </w:r>
      <w:r>
        <w:rPr>
          <w:rFonts w:ascii="SimSun" w:hAnsi="SimSun" w:eastAsia="SimSun" w:cs="SimSun"/>
          <w:sz w:val="20"/>
          <w:szCs w:val="20"/>
          <w:u w:val="single" w:color="auto"/>
          <w:spacing w:val="4"/>
        </w:rPr>
        <w:t>意向投资人可能存在交易账户信息泄露、身份</w:t>
      </w:r>
      <w:r>
        <w:rPr>
          <w:rFonts w:ascii="SimSun" w:hAnsi="SimSun" w:eastAsia="SimSun" w:cs="SimSun"/>
          <w:sz w:val="20"/>
          <w:szCs w:val="20"/>
        </w:rPr>
        <w:t xml:space="preserve">   </w:t>
      </w:r>
      <w:r>
        <w:rPr>
          <w:rFonts w:ascii="SimSun" w:hAnsi="SimSun" w:eastAsia="SimSun" w:cs="SimSun"/>
          <w:sz w:val="20"/>
          <w:szCs w:val="20"/>
          <w:u w:val="single" w:color="auto"/>
          <w:spacing w:val="10"/>
        </w:rPr>
        <w:t>被仿冒、操作不当、意向投资人终端软硬件与交易中心指定交易中心平台不兼容、终端设备时间与交</w:t>
      </w:r>
      <w:r>
        <w:rPr>
          <w:rFonts w:ascii="SimSun" w:hAnsi="SimSun" w:eastAsia="SimSun" w:cs="SimSun"/>
          <w:sz w:val="20"/>
          <w:szCs w:val="20"/>
          <w:spacing w:val="17"/>
        </w:rPr>
        <w:t xml:space="preserve"> </w:t>
      </w:r>
      <w:r>
        <w:rPr>
          <w:rFonts w:ascii="SimSun" w:hAnsi="SimSun" w:eastAsia="SimSun" w:cs="SimSun"/>
          <w:sz w:val="20"/>
          <w:szCs w:val="20"/>
          <w:u w:val="single" w:color="auto"/>
          <w:spacing w:val="7"/>
        </w:rPr>
        <w:t>易系统时间不符、终端软硬件或网络故障造成交易</w:t>
      </w:r>
      <w:r>
        <w:rPr>
          <w:rFonts w:ascii="SimSun" w:hAnsi="SimSun" w:eastAsia="SimSun" w:cs="SimSun"/>
          <w:sz w:val="20"/>
          <w:szCs w:val="20"/>
          <w:u w:val="single" w:color="auto"/>
          <w:spacing w:val="6"/>
        </w:rPr>
        <w:t>失败、失误等互联网操作风险。</w:t>
      </w:r>
      <w:r>
        <w:rPr>
          <w:rFonts w:ascii="SimSun" w:hAnsi="SimSun" w:eastAsia="SimSun" w:cs="SimSun"/>
          <w:sz w:val="20"/>
          <w:szCs w:val="20"/>
          <w:u w:val="single" w:color="auto"/>
        </w:rPr>
        <w:t xml:space="preserve">  </w:t>
      </w:r>
    </w:p>
    <w:p>
      <w:pPr>
        <w:ind w:left="860" w:right="833" w:firstLine="420"/>
        <w:spacing w:before="60" w:line="246" w:lineRule="auto"/>
        <w:rPr>
          <w:rFonts w:ascii="SimSun" w:hAnsi="SimSun" w:eastAsia="SimSun" w:cs="SimSun"/>
          <w:sz w:val="20"/>
          <w:szCs w:val="20"/>
        </w:rPr>
      </w:pPr>
      <w:r>
        <w:rPr>
          <w:rFonts w:ascii="SimSun" w:hAnsi="SimSun" w:eastAsia="SimSun" w:cs="SimSun"/>
          <w:sz w:val="20"/>
          <w:szCs w:val="20"/>
          <w:spacing w:val="9"/>
        </w:rPr>
        <w:t>4.优先权行权风险。</w:t>
      </w:r>
      <w:r>
        <w:rPr>
          <w:rFonts w:ascii="SimSun" w:hAnsi="SimSun" w:eastAsia="SimSun" w:cs="SimSun"/>
          <w:sz w:val="20"/>
          <w:szCs w:val="20"/>
          <w:spacing w:val="-20"/>
        </w:rPr>
        <w:t xml:space="preserve"> </w:t>
      </w:r>
      <w:r>
        <w:rPr>
          <w:rFonts w:ascii="SimSun" w:hAnsi="SimSun" w:eastAsia="SimSun" w:cs="SimSun"/>
          <w:sz w:val="20"/>
          <w:szCs w:val="20"/>
          <w:u w:val="single" w:color="auto"/>
          <w:spacing w:val="9"/>
        </w:rPr>
        <w:t>享有优先权的意向投资人应详细阅读项目公告关于行使优先权</w:t>
      </w:r>
      <w:r>
        <w:rPr>
          <w:rFonts w:ascii="SimSun" w:hAnsi="SimSun" w:eastAsia="SimSun" w:cs="SimSun"/>
          <w:sz w:val="20"/>
          <w:szCs w:val="20"/>
          <w:u w:val="single" w:color="auto"/>
          <w:spacing w:val="8"/>
        </w:rPr>
        <w:t>的约定，否</w:t>
      </w:r>
      <w:r>
        <w:rPr>
          <w:rFonts w:ascii="SimSun" w:hAnsi="SimSun" w:eastAsia="SimSun" w:cs="SimSun"/>
          <w:sz w:val="20"/>
          <w:szCs w:val="20"/>
        </w:rPr>
        <w:t xml:space="preserve">  </w:t>
      </w:r>
      <w:r>
        <w:rPr>
          <w:rFonts w:ascii="SimSun" w:hAnsi="SimSun" w:eastAsia="SimSun" w:cs="SimSun"/>
          <w:sz w:val="20"/>
          <w:szCs w:val="20"/>
          <w:u w:val="single" w:color="auto"/>
          <w:spacing w:val="10"/>
        </w:rPr>
        <w:t>则可能会承担行权方式不当引致的责任或风险。意向投资人存在因享有优先权的意向投资人行权而不</w:t>
      </w:r>
      <w:r>
        <w:rPr>
          <w:rFonts w:ascii="SimSun" w:hAnsi="SimSun" w:eastAsia="SimSun" w:cs="SimSun"/>
          <w:sz w:val="20"/>
          <w:szCs w:val="20"/>
        </w:rPr>
        <w:t xml:space="preserve"> </w:t>
      </w:r>
      <w:r>
        <w:rPr>
          <w:rFonts w:ascii="SimSun" w:hAnsi="SimSun" w:eastAsia="SimSun" w:cs="SimSun"/>
          <w:sz w:val="20"/>
          <w:szCs w:val="20"/>
          <w:u w:val="single" w:color="auto"/>
          <w:spacing w:val="-1"/>
        </w:rPr>
        <w:t>能成为最终投资人的风险。</w:t>
      </w:r>
      <w:r>
        <w:rPr>
          <w:rFonts w:ascii="SimSun" w:hAnsi="SimSun" w:eastAsia="SimSun" w:cs="SimSun"/>
          <w:sz w:val="20"/>
          <w:szCs w:val="20"/>
          <w:u w:val="single" w:color="auto"/>
          <w:spacing w:val="5"/>
        </w:rPr>
        <w:t xml:space="preserve">  </w:t>
      </w:r>
    </w:p>
    <w:p>
      <w:pPr>
        <w:ind w:left="1280"/>
        <w:spacing w:before="44" w:line="220" w:lineRule="auto"/>
        <w:rPr>
          <w:rFonts w:ascii="SimSun" w:hAnsi="SimSun" w:eastAsia="SimSun" w:cs="SimSun"/>
          <w:sz w:val="20"/>
          <w:szCs w:val="20"/>
        </w:rPr>
      </w:pPr>
      <w:r>
        <w:rPr>
          <w:rFonts w:ascii="SimSun" w:hAnsi="SimSun" w:eastAsia="SimSun" w:cs="SimSun"/>
          <w:sz w:val="20"/>
          <w:szCs w:val="20"/>
          <w:spacing w:val="4"/>
        </w:rPr>
        <w:t>四、其他风险</w:t>
      </w:r>
    </w:p>
    <w:p>
      <w:pPr>
        <w:ind w:left="860" w:right="879" w:firstLine="420"/>
        <w:spacing w:before="60" w:line="236" w:lineRule="auto"/>
        <w:rPr>
          <w:rFonts w:ascii="SimSun" w:hAnsi="SimSun" w:eastAsia="SimSun" w:cs="SimSun"/>
          <w:sz w:val="20"/>
          <w:szCs w:val="20"/>
        </w:rPr>
      </w:pPr>
      <w:r>
        <w:rPr>
          <w:rFonts w:ascii="Times New Roman" w:hAnsi="Times New Roman" w:eastAsia="Times New Roman" w:cs="Times New Roman"/>
          <w:sz w:val="20"/>
          <w:szCs w:val="20"/>
          <w:spacing w:val="8"/>
        </w:rPr>
        <w:t>1.</w:t>
      </w:r>
      <w:r>
        <w:rPr>
          <w:rFonts w:ascii="Times New Roman" w:hAnsi="Times New Roman" w:eastAsia="Times New Roman" w:cs="Times New Roman"/>
          <w:sz w:val="20"/>
          <w:szCs w:val="20"/>
          <w:spacing w:val="44"/>
        </w:rPr>
        <w:t xml:space="preserve"> </w:t>
      </w:r>
      <w:r>
        <w:rPr>
          <w:rFonts w:ascii="SimSun" w:hAnsi="SimSun" w:eastAsia="SimSun" w:cs="SimSun"/>
          <w:sz w:val="20"/>
          <w:szCs w:val="20"/>
          <w:spacing w:val="8"/>
        </w:rPr>
        <w:t>宏观经济风险：因宏观经济形势变化，可能引起价格等方面的</w:t>
      </w:r>
      <w:r>
        <w:rPr>
          <w:rFonts w:ascii="SimSun" w:hAnsi="SimSun" w:eastAsia="SimSun" w:cs="SimSun"/>
          <w:sz w:val="20"/>
          <w:szCs w:val="20"/>
          <w:spacing w:val="7"/>
        </w:rPr>
        <w:t>异常波动，投资人有可能遭受的</w:t>
      </w:r>
      <w:r>
        <w:rPr>
          <w:rFonts w:ascii="SimSun" w:hAnsi="SimSun" w:eastAsia="SimSun" w:cs="SimSun"/>
          <w:sz w:val="20"/>
          <w:szCs w:val="20"/>
        </w:rPr>
        <w:t xml:space="preserve"> </w:t>
      </w:r>
      <w:r>
        <w:rPr>
          <w:rFonts w:ascii="SimSun" w:hAnsi="SimSun" w:eastAsia="SimSun" w:cs="SimSun"/>
          <w:sz w:val="20"/>
          <w:szCs w:val="20"/>
          <w:spacing w:val="-5"/>
        </w:rPr>
        <w:t>损失；</w:t>
      </w:r>
    </w:p>
    <w:p>
      <w:pPr>
        <w:ind w:left="860" w:right="887" w:firstLine="420"/>
        <w:spacing w:before="57"/>
        <w:rPr>
          <w:rFonts w:ascii="SimSun" w:hAnsi="SimSun" w:eastAsia="SimSun" w:cs="SimSun"/>
          <w:sz w:val="20"/>
          <w:szCs w:val="20"/>
        </w:rPr>
      </w:pPr>
      <w:r>
        <w:rPr>
          <w:rFonts w:ascii="Times New Roman" w:hAnsi="Times New Roman" w:eastAsia="Times New Roman" w:cs="Times New Roman"/>
          <w:sz w:val="20"/>
          <w:szCs w:val="20"/>
          <w:spacing w:val="8"/>
        </w:rPr>
        <w:t>2.</w:t>
      </w:r>
      <w:r>
        <w:rPr>
          <w:rFonts w:ascii="Times New Roman" w:hAnsi="Times New Roman" w:eastAsia="Times New Roman" w:cs="Times New Roman"/>
          <w:sz w:val="20"/>
          <w:szCs w:val="20"/>
          <w:spacing w:val="34"/>
          <w:w w:val="101"/>
        </w:rPr>
        <w:t xml:space="preserve"> </w:t>
      </w:r>
      <w:r>
        <w:rPr>
          <w:rFonts w:ascii="SimSun" w:hAnsi="SimSun" w:eastAsia="SimSun" w:cs="SimSun"/>
          <w:sz w:val="20"/>
          <w:szCs w:val="20"/>
          <w:spacing w:val="8"/>
        </w:rPr>
        <w:t>政策风险：有关法律、法规及相关政策、规则发生变化，可能引起</w:t>
      </w:r>
      <w:r>
        <w:rPr>
          <w:rFonts w:ascii="SimSun" w:hAnsi="SimSun" w:eastAsia="SimSun" w:cs="SimSun"/>
          <w:sz w:val="20"/>
          <w:szCs w:val="20"/>
          <w:spacing w:val="7"/>
        </w:rPr>
        <w:t>价格等方面异常波动或导致</w:t>
      </w:r>
      <w:r>
        <w:rPr>
          <w:rFonts w:ascii="SimSun" w:hAnsi="SimSun" w:eastAsia="SimSun" w:cs="SimSun"/>
          <w:sz w:val="20"/>
          <w:szCs w:val="20"/>
        </w:rPr>
        <w:t xml:space="preserve"> </w:t>
      </w:r>
      <w:r>
        <w:rPr>
          <w:rFonts w:ascii="SimSun" w:hAnsi="SimSun" w:eastAsia="SimSun" w:cs="SimSun"/>
          <w:sz w:val="20"/>
          <w:szCs w:val="20"/>
          <w:spacing w:val="8"/>
        </w:rPr>
        <w:t>相关资产、权利等不能变更过户，投资人有可能遭受的损失；</w:t>
      </w:r>
    </w:p>
    <w:p>
      <w:pPr>
        <w:ind w:left="1280"/>
        <w:spacing w:before="52" w:line="219" w:lineRule="auto"/>
        <w:rPr>
          <w:rFonts w:ascii="SimSun" w:hAnsi="SimSun" w:eastAsia="SimSun" w:cs="SimSun"/>
          <w:sz w:val="20"/>
          <w:szCs w:val="20"/>
        </w:rPr>
      </w:pPr>
      <w:r>
        <w:rPr>
          <w:rFonts w:ascii="Times New Roman" w:hAnsi="Times New Roman" w:eastAsia="Times New Roman" w:cs="Times New Roman"/>
          <w:sz w:val="20"/>
          <w:szCs w:val="20"/>
          <w:spacing w:val="6"/>
        </w:rPr>
        <w:t>3.</w:t>
      </w:r>
      <w:r>
        <w:rPr>
          <w:rFonts w:ascii="Times New Roman" w:hAnsi="Times New Roman" w:eastAsia="Times New Roman" w:cs="Times New Roman"/>
          <w:sz w:val="20"/>
          <w:szCs w:val="20"/>
          <w:spacing w:val="44"/>
          <w:w w:val="101"/>
        </w:rPr>
        <w:t xml:space="preserve"> </w:t>
      </w:r>
      <w:r>
        <w:rPr>
          <w:rFonts w:ascii="SimSun" w:hAnsi="SimSun" w:eastAsia="SimSun" w:cs="SimSun"/>
          <w:sz w:val="20"/>
          <w:szCs w:val="20"/>
          <w:spacing w:val="6"/>
        </w:rPr>
        <w:t>利率风险：市场利率变化可能对购买或持有产品的实际收益产生的影响；</w:t>
      </w:r>
    </w:p>
    <w:p>
      <w:pPr>
        <w:ind w:left="1280"/>
        <w:spacing w:before="53" w:line="219" w:lineRule="auto"/>
        <w:rPr>
          <w:rFonts w:ascii="SimSun" w:hAnsi="SimSun" w:eastAsia="SimSun" w:cs="SimSun"/>
          <w:sz w:val="20"/>
          <w:szCs w:val="20"/>
        </w:rPr>
      </w:pPr>
      <w:r>
        <w:rPr>
          <w:rFonts w:ascii="Times New Roman" w:hAnsi="Times New Roman" w:eastAsia="Times New Roman" w:cs="Times New Roman"/>
          <w:sz w:val="20"/>
          <w:szCs w:val="20"/>
          <w:spacing w:val="6"/>
        </w:rPr>
        <w:t>4.</w:t>
      </w:r>
      <w:r>
        <w:rPr>
          <w:rFonts w:ascii="Times New Roman" w:hAnsi="Times New Roman" w:eastAsia="Times New Roman" w:cs="Times New Roman"/>
          <w:sz w:val="20"/>
          <w:szCs w:val="20"/>
          <w:spacing w:val="44"/>
          <w:w w:val="101"/>
        </w:rPr>
        <w:t xml:space="preserve"> </w:t>
      </w:r>
      <w:r>
        <w:rPr>
          <w:rFonts w:ascii="SimSun" w:hAnsi="SimSun" w:eastAsia="SimSun" w:cs="SimSun"/>
          <w:sz w:val="20"/>
          <w:szCs w:val="20"/>
          <w:spacing w:val="6"/>
        </w:rPr>
        <w:t>不可抗力因素导致的风险；</w:t>
      </w:r>
    </w:p>
    <w:p>
      <w:pPr>
        <w:ind w:left="860" w:right="886" w:firstLine="420"/>
        <w:spacing w:before="43"/>
        <w:rPr>
          <w:rFonts w:ascii="SimSun" w:hAnsi="SimSun" w:eastAsia="SimSun" w:cs="SimSun"/>
          <w:sz w:val="20"/>
          <w:szCs w:val="20"/>
        </w:rPr>
      </w:pPr>
      <w:r>
        <w:rPr>
          <w:rFonts w:ascii="Times New Roman" w:hAnsi="Times New Roman" w:eastAsia="Times New Roman" w:cs="Times New Roman"/>
          <w:sz w:val="20"/>
          <w:szCs w:val="20"/>
          <w:spacing w:val="8"/>
        </w:rPr>
        <w:t>5.</w:t>
      </w:r>
      <w:r>
        <w:rPr>
          <w:rFonts w:ascii="Times New Roman" w:hAnsi="Times New Roman" w:eastAsia="Times New Roman" w:cs="Times New Roman"/>
          <w:sz w:val="20"/>
          <w:szCs w:val="20"/>
          <w:spacing w:val="39"/>
          <w:w w:val="101"/>
        </w:rPr>
        <w:t xml:space="preserve"> </w:t>
      </w:r>
      <w:r>
        <w:rPr>
          <w:rFonts w:ascii="SimSun" w:hAnsi="SimSun" w:eastAsia="SimSun" w:cs="SimSun"/>
          <w:sz w:val="20"/>
          <w:szCs w:val="20"/>
          <w:spacing w:val="8"/>
        </w:rPr>
        <w:t>违约风险：因包括但不限于委托方或其他交易方无力或无</w:t>
      </w:r>
      <w:r>
        <w:rPr>
          <w:rFonts w:ascii="SimSun" w:hAnsi="SimSun" w:eastAsia="SimSun" w:cs="SimSun"/>
          <w:sz w:val="20"/>
          <w:szCs w:val="20"/>
          <w:spacing w:val="7"/>
        </w:rPr>
        <w:t>意愿按时足额履约，意向投资人有可</w:t>
      </w:r>
      <w:r>
        <w:rPr>
          <w:rFonts w:ascii="SimSun" w:hAnsi="SimSun" w:eastAsia="SimSun" w:cs="SimSun"/>
          <w:sz w:val="20"/>
          <w:szCs w:val="20"/>
        </w:rPr>
        <w:t xml:space="preserve"> </w:t>
      </w:r>
      <w:r>
        <w:rPr>
          <w:rFonts w:ascii="SimSun" w:hAnsi="SimSun" w:eastAsia="SimSun" w:cs="SimSun"/>
          <w:sz w:val="20"/>
          <w:szCs w:val="20"/>
          <w:spacing w:val="2"/>
        </w:rPr>
        <w:t>能遭受的损失；</w:t>
      </w:r>
    </w:p>
    <w:p>
      <w:pPr>
        <w:ind w:left="860" w:right="836" w:firstLine="420"/>
        <w:spacing w:before="30"/>
        <w:rPr>
          <w:rFonts w:ascii="SimSun" w:hAnsi="SimSun" w:eastAsia="SimSun" w:cs="SimSun"/>
          <w:sz w:val="21"/>
          <w:szCs w:val="21"/>
        </w:rPr>
      </w:pPr>
      <w:r>
        <w:rPr>
          <w:rFonts w:ascii="Times New Roman" w:hAnsi="Times New Roman" w:eastAsia="Times New Roman" w:cs="Times New Roman"/>
          <w:sz w:val="21"/>
          <w:szCs w:val="21"/>
        </w:rPr>
        <w:t>6.</w:t>
      </w:r>
      <w:r>
        <w:rPr>
          <w:rFonts w:ascii="Times New Roman" w:hAnsi="Times New Roman" w:eastAsia="Times New Roman" w:cs="Times New Roman"/>
          <w:sz w:val="21"/>
          <w:szCs w:val="21"/>
          <w:spacing w:val="39"/>
        </w:rPr>
        <w:t xml:space="preserve"> </w:t>
      </w:r>
      <w:r>
        <w:rPr>
          <w:rFonts w:ascii="SimSun" w:hAnsi="SimSun" w:eastAsia="SimSun" w:cs="SimSun"/>
          <w:sz w:val="21"/>
          <w:szCs w:val="21"/>
        </w:rPr>
        <w:t>因意向投资人自身的过错导致的任何损失，该过错包括但不限于决策失误、操作不当、盲目  </w:t>
      </w:r>
      <w:r>
        <w:rPr>
          <w:rFonts w:ascii="SimSun" w:hAnsi="SimSun" w:eastAsia="SimSun" w:cs="SimSun"/>
          <w:sz w:val="21"/>
          <w:szCs w:val="21"/>
          <w:spacing w:val="5"/>
        </w:rPr>
        <w:t>竞价(加价)、使用电子竞价系统时遗忘或泄露密码或密码被他人破解</w:t>
      </w:r>
      <w:r>
        <w:rPr>
          <w:rFonts w:ascii="SimSun" w:hAnsi="SimSun" w:eastAsia="SimSun" w:cs="SimSun"/>
          <w:sz w:val="21"/>
          <w:szCs w:val="21"/>
          <w:spacing w:val="4"/>
        </w:rPr>
        <w:t>或使用的计算机系统被第三方</w:t>
      </w:r>
      <w:r>
        <w:rPr>
          <w:rFonts w:ascii="SimSun" w:hAnsi="SimSun" w:eastAsia="SimSun" w:cs="SimSun"/>
          <w:sz w:val="21"/>
          <w:szCs w:val="21"/>
        </w:rPr>
        <w:t xml:space="preserve"> </w:t>
      </w:r>
      <w:r>
        <w:rPr>
          <w:rFonts w:ascii="SimSun" w:hAnsi="SimSun" w:eastAsia="SimSun" w:cs="SimSun"/>
          <w:sz w:val="21"/>
          <w:szCs w:val="21"/>
          <w:spacing w:val="-1"/>
        </w:rPr>
        <w:t>侵入、委托他人代理交易时他人恶意或不当操作而造成的损失等。</w:t>
      </w:r>
    </w:p>
    <w:p>
      <w:pPr>
        <w:ind w:left="860" w:right="833" w:firstLine="420"/>
        <w:spacing w:before="62" w:line="245" w:lineRule="auto"/>
        <w:rPr>
          <w:rFonts w:ascii="SimSun" w:hAnsi="SimSun" w:eastAsia="SimSun" w:cs="SimSun"/>
          <w:sz w:val="20"/>
          <w:szCs w:val="20"/>
        </w:rPr>
      </w:pPr>
      <w:r>
        <w:rPr>
          <w:rFonts w:ascii="Times New Roman" w:hAnsi="Times New Roman" w:eastAsia="Times New Roman" w:cs="Times New Roman"/>
          <w:sz w:val="20"/>
          <w:szCs w:val="20"/>
          <w:spacing w:val="10"/>
        </w:rPr>
        <w:t>7.</w:t>
      </w:r>
      <w:r>
        <w:rPr>
          <w:rFonts w:ascii="Times New Roman" w:hAnsi="Times New Roman" w:eastAsia="Times New Roman" w:cs="Times New Roman"/>
          <w:sz w:val="20"/>
          <w:szCs w:val="20"/>
          <w:spacing w:val="47"/>
          <w:w w:val="101"/>
        </w:rPr>
        <w:t xml:space="preserve"> </w:t>
      </w:r>
      <w:r>
        <w:rPr>
          <w:rFonts w:ascii="SimSun" w:hAnsi="SimSun" w:eastAsia="SimSun" w:cs="SimSun"/>
          <w:sz w:val="20"/>
          <w:szCs w:val="20"/>
          <w:spacing w:val="10"/>
        </w:rPr>
        <w:t>因战争、自然灾害、通讯故障、电力故障、运营服务商网络故障</w:t>
      </w:r>
      <w:r>
        <w:rPr>
          <w:rFonts w:ascii="SimSun" w:hAnsi="SimSun" w:eastAsia="SimSun" w:cs="SimSun"/>
          <w:sz w:val="20"/>
          <w:szCs w:val="20"/>
          <w:spacing w:val="9"/>
        </w:rPr>
        <w:t>、非法入侵、恶意攻击等原</w:t>
      </w:r>
      <w:r>
        <w:rPr>
          <w:rFonts w:ascii="SimSun" w:hAnsi="SimSun" w:eastAsia="SimSun" w:cs="SimSun"/>
          <w:sz w:val="20"/>
          <w:szCs w:val="20"/>
        </w:rPr>
        <w:t xml:space="preserve">  </w:t>
      </w:r>
      <w:r>
        <w:rPr>
          <w:rFonts w:ascii="SimSun" w:hAnsi="SimSun" w:eastAsia="SimSun" w:cs="SimSun"/>
          <w:sz w:val="20"/>
          <w:szCs w:val="20"/>
          <w:spacing w:val="10"/>
        </w:rPr>
        <w:t>因导致交易标的损毁灭失或交易中心指定交易中心平台异常甚至瘫痪，导致交易终止的，交易中心不</w:t>
      </w:r>
      <w:r>
        <w:rPr>
          <w:rFonts w:ascii="SimSun" w:hAnsi="SimSun" w:eastAsia="SimSun" w:cs="SimSun"/>
          <w:sz w:val="20"/>
          <w:szCs w:val="20"/>
        </w:rPr>
        <w:t xml:space="preserve"> </w:t>
      </w:r>
      <w:r>
        <w:rPr>
          <w:rFonts w:ascii="SimSun" w:hAnsi="SimSun" w:eastAsia="SimSun" w:cs="SimSun"/>
          <w:sz w:val="20"/>
          <w:szCs w:val="20"/>
          <w:spacing w:val="9"/>
        </w:rPr>
        <w:t>承担任何责任，意向投资人应自行承担由此可能产生的损失。</w:t>
      </w:r>
    </w:p>
    <w:p>
      <w:pPr>
        <w:ind w:left="860" w:right="833" w:firstLine="420"/>
        <w:spacing w:before="54" w:line="245" w:lineRule="auto"/>
        <w:rPr>
          <w:rFonts w:ascii="SimSun" w:hAnsi="SimSun" w:eastAsia="SimSun" w:cs="SimSun"/>
          <w:sz w:val="20"/>
          <w:szCs w:val="20"/>
        </w:rPr>
      </w:pPr>
      <w:r>
        <w:rPr>
          <w:rFonts w:ascii="Times New Roman" w:hAnsi="Times New Roman" w:eastAsia="Times New Roman" w:cs="Times New Roman"/>
          <w:sz w:val="20"/>
          <w:szCs w:val="20"/>
          <w:spacing w:val="10"/>
        </w:rPr>
        <w:t>8.</w:t>
      </w:r>
      <w:r>
        <w:rPr>
          <w:rFonts w:ascii="Times New Roman" w:hAnsi="Times New Roman" w:eastAsia="Times New Roman" w:cs="Times New Roman"/>
          <w:sz w:val="20"/>
          <w:szCs w:val="20"/>
          <w:spacing w:val="1"/>
        </w:rPr>
        <w:t xml:space="preserve">  </w:t>
      </w:r>
      <w:r>
        <w:rPr>
          <w:rFonts w:ascii="SimSun" w:hAnsi="SimSun" w:eastAsia="SimSun" w:cs="SimSun"/>
          <w:sz w:val="20"/>
          <w:szCs w:val="20"/>
          <w:spacing w:val="10"/>
        </w:rPr>
        <w:t>交易标的成交后，对交易标的交割过程</w:t>
      </w:r>
      <w:r>
        <w:rPr>
          <w:rFonts w:ascii="SimSun" w:hAnsi="SimSun" w:eastAsia="SimSun" w:cs="SimSun"/>
          <w:sz w:val="20"/>
          <w:szCs w:val="20"/>
          <w:spacing w:val="9"/>
        </w:rPr>
        <w:t>中发生的包括但不限于包装、运输、交付、税费等一</w:t>
      </w:r>
      <w:r>
        <w:rPr>
          <w:rFonts w:ascii="SimSun" w:hAnsi="SimSun" w:eastAsia="SimSun" w:cs="SimSun"/>
          <w:sz w:val="20"/>
          <w:szCs w:val="20"/>
        </w:rPr>
        <w:t xml:space="preserve">  </w:t>
      </w:r>
      <w:r>
        <w:rPr>
          <w:rFonts w:ascii="SimSun" w:hAnsi="SimSun" w:eastAsia="SimSun" w:cs="SimSun"/>
          <w:sz w:val="20"/>
          <w:szCs w:val="20"/>
          <w:spacing w:val="10"/>
        </w:rPr>
        <w:t>切费用、纷争等，均由交易双方依据交易合同、项目公告及相关规定，自行承担和处理，交易中心不</w:t>
      </w:r>
      <w:r>
        <w:rPr>
          <w:rFonts w:ascii="SimSun" w:hAnsi="SimSun" w:eastAsia="SimSun" w:cs="SimSun"/>
          <w:sz w:val="20"/>
          <w:szCs w:val="20"/>
        </w:rPr>
        <w:t xml:space="preserve"> </w:t>
      </w:r>
      <w:r>
        <w:rPr>
          <w:rFonts w:ascii="SimSun" w:hAnsi="SimSun" w:eastAsia="SimSun" w:cs="SimSun"/>
          <w:sz w:val="20"/>
          <w:szCs w:val="20"/>
          <w:spacing w:val="2"/>
        </w:rPr>
        <w:t>承担任何责任。</w:t>
      </w:r>
    </w:p>
    <w:p>
      <w:pPr>
        <w:ind w:left="860" w:right="1005" w:firstLine="420"/>
        <w:spacing w:before="62" w:line="248" w:lineRule="auto"/>
        <w:rPr>
          <w:rFonts w:ascii="SimSun" w:hAnsi="SimSun" w:eastAsia="SimSun" w:cs="SimSun"/>
          <w:sz w:val="20"/>
          <w:szCs w:val="20"/>
        </w:rPr>
      </w:pPr>
      <w:r>
        <w:rPr>
          <w:rFonts w:ascii="SimSun" w:hAnsi="SimSun" w:eastAsia="SimSun" w:cs="SimSun"/>
          <w:sz w:val="20"/>
          <w:szCs w:val="20"/>
          <w:u w:val="single" w:color="auto"/>
          <w:spacing w:val="11"/>
        </w:rPr>
        <w:t>9.意向投资人因填写信息不真实、不准确或不完整而造成注册</w:t>
      </w:r>
      <w:r>
        <w:rPr>
          <w:rFonts w:ascii="SimSun" w:hAnsi="SimSun" w:eastAsia="SimSun" w:cs="SimSun"/>
          <w:sz w:val="20"/>
          <w:szCs w:val="20"/>
          <w:u w:val="single" w:color="auto"/>
          <w:spacing w:val="10"/>
        </w:rPr>
        <w:t>账户无法激活或信息无法接收或</w:t>
      </w:r>
      <w:r>
        <w:rPr>
          <w:rFonts w:ascii="SimSun" w:hAnsi="SimSun" w:eastAsia="SimSun" w:cs="SimSun"/>
          <w:sz w:val="20"/>
          <w:szCs w:val="20"/>
        </w:rPr>
        <w:t xml:space="preserve"> </w:t>
      </w:r>
      <w:r>
        <w:rPr>
          <w:rFonts w:ascii="SimSun" w:hAnsi="SimSun" w:eastAsia="SimSun" w:cs="SimSun"/>
          <w:sz w:val="20"/>
          <w:szCs w:val="20"/>
          <w:u w:val="single" w:color="auto"/>
          <w:spacing w:val="5"/>
        </w:rPr>
        <w:t>交易保证金无法退还等情形的，自行承担相应后果。</w:t>
      </w:r>
      <w:r>
        <w:rPr>
          <w:rFonts w:ascii="SimSun" w:hAnsi="SimSun" w:eastAsia="SimSun" w:cs="SimSun"/>
          <w:sz w:val="20"/>
          <w:szCs w:val="20"/>
          <w:u w:val="single" w:color="auto"/>
          <w:spacing w:val="2"/>
        </w:rPr>
        <w:t xml:space="preserve">  </w:t>
      </w:r>
    </w:p>
    <w:p>
      <w:pPr>
        <w:ind w:left="860" w:right="828" w:firstLine="420"/>
        <w:spacing w:before="33" w:line="261" w:lineRule="auto"/>
        <w:jc w:val="both"/>
        <w:rPr>
          <w:rFonts w:ascii="SimSun" w:hAnsi="SimSun" w:eastAsia="SimSun" w:cs="SimSun"/>
          <w:sz w:val="20"/>
          <w:szCs w:val="20"/>
        </w:rPr>
      </w:pPr>
      <w:r>
        <w:rPr>
          <w:rFonts w:ascii="SimSun" w:hAnsi="SimSun" w:eastAsia="SimSun" w:cs="SimSun"/>
          <w:sz w:val="20"/>
          <w:szCs w:val="20"/>
          <w:spacing w:val="10"/>
        </w:rPr>
        <w:t>当司法机关、行政机关、监察机关、国家安全部门、中国共产党纪律检查委员会等任何中国共产</w:t>
      </w:r>
      <w:r>
        <w:rPr>
          <w:rFonts w:ascii="SimSun" w:hAnsi="SimSun" w:eastAsia="SimSun" w:cs="SimSun"/>
          <w:sz w:val="20"/>
          <w:szCs w:val="20"/>
          <w:spacing w:val="1"/>
        </w:rPr>
        <w:t xml:space="preserve"> </w:t>
      </w:r>
      <w:r>
        <w:rPr>
          <w:rFonts w:ascii="SimSun" w:hAnsi="SimSun" w:eastAsia="SimSun" w:cs="SimSun"/>
          <w:sz w:val="20"/>
          <w:szCs w:val="20"/>
          <w:spacing w:val="10"/>
        </w:rPr>
        <w:t>党和国家有关机关、部门对意向投资人在网络竞价平台上开设账户及相关信息、所发布的信息以及意</w:t>
      </w:r>
      <w:r>
        <w:rPr>
          <w:rFonts w:ascii="SimSun" w:hAnsi="SimSun" w:eastAsia="SimSun" w:cs="SimSun"/>
          <w:sz w:val="20"/>
          <w:szCs w:val="20"/>
          <w:spacing w:val="1"/>
        </w:rPr>
        <w:t xml:space="preserve"> </w:t>
      </w:r>
      <w:r>
        <w:rPr>
          <w:rFonts w:ascii="SimSun" w:hAnsi="SimSun" w:eastAsia="SimSun" w:cs="SimSun"/>
          <w:sz w:val="20"/>
          <w:szCs w:val="20"/>
          <w:spacing w:val="10"/>
        </w:rPr>
        <w:t>向投资人留存于交易中心账户的包括但不限于交易保证金、交易价款等相关财产采取包括但不限于查</w:t>
      </w:r>
      <w:r>
        <w:rPr>
          <w:rFonts w:ascii="SimSun" w:hAnsi="SimSun" w:eastAsia="SimSun" w:cs="SimSun"/>
          <w:sz w:val="20"/>
          <w:szCs w:val="20"/>
        </w:rPr>
        <w:t xml:space="preserve"> </w:t>
      </w:r>
      <w:r>
        <w:rPr>
          <w:rFonts w:ascii="SimSun" w:hAnsi="SimSun" w:eastAsia="SimSun" w:cs="SimSun"/>
          <w:sz w:val="20"/>
          <w:szCs w:val="20"/>
          <w:spacing w:val="10"/>
        </w:rPr>
        <w:t>封、冻结、提取、扣划、罚没等措施时，意向投资人理解并同意交易中心有义务根据法律、法规等相</w:t>
      </w:r>
      <w:r>
        <w:rPr>
          <w:rFonts w:ascii="SimSun" w:hAnsi="SimSun" w:eastAsia="SimSun" w:cs="SimSun"/>
          <w:sz w:val="20"/>
          <w:szCs w:val="20"/>
          <w:spacing w:val="5"/>
        </w:rPr>
        <w:t xml:space="preserve"> </w:t>
      </w:r>
      <w:r>
        <w:rPr>
          <w:rFonts w:ascii="SimSun" w:hAnsi="SimSun" w:eastAsia="SimSun" w:cs="SimSun"/>
          <w:sz w:val="20"/>
          <w:szCs w:val="20"/>
          <w:spacing w:val="10"/>
        </w:rPr>
        <w:t>关规定配合协助上述机关、部门采取相应的措施，由此给意向投资人造成的损失由意向投资人自</w:t>
      </w:r>
      <w:r>
        <w:rPr>
          <w:rFonts w:ascii="SimSun" w:hAnsi="SimSun" w:eastAsia="SimSun" w:cs="SimSun"/>
          <w:sz w:val="20"/>
          <w:szCs w:val="20"/>
          <w:spacing w:val="9"/>
        </w:rPr>
        <w:t>行承</w:t>
      </w:r>
      <w:r>
        <w:rPr>
          <w:rFonts w:ascii="SimSun" w:hAnsi="SimSun" w:eastAsia="SimSun" w:cs="SimSun"/>
          <w:sz w:val="20"/>
          <w:szCs w:val="20"/>
        </w:rPr>
        <w:t xml:space="preserve"> </w:t>
      </w:r>
      <w:r>
        <w:rPr>
          <w:rFonts w:ascii="SimSun" w:hAnsi="SimSun" w:eastAsia="SimSun" w:cs="SimSun"/>
          <w:sz w:val="20"/>
          <w:szCs w:val="20"/>
          <w:spacing w:val="9"/>
        </w:rPr>
        <w:t>担，且意向投资人同意不就此向交易中心主</w:t>
      </w:r>
      <w:r>
        <w:rPr>
          <w:rFonts w:ascii="SimSun" w:hAnsi="SimSun" w:eastAsia="SimSun" w:cs="SimSun"/>
          <w:sz w:val="20"/>
          <w:szCs w:val="20"/>
          <w:spacing w:val="8"/>
        </w:rPr>
        <w:t>张任何权利。</w:t>
      </w:r>
    </w:p>
    <w:p>
      <w:pPr>
        <w:ind w:left="860" w:right="805" w:firstLine="420"/>
        <w:spacing w:before="30" w:line="260" w:lineRule="auto"/>
        <w:rPr>
          <w:rFonts w:ascii="SimSun" w:hAnsi="SimSun" w:eastAsia="SimSun" w:cs="SimSun"/>
          <w:sz w:val="20"/>
          <w:szCs w:val="20"/>
        </w:rPr>
      </w:pPr>
      <w:r>
        <w:rPr>
          <w:rFonts w:ascii="SimSun" w:hAnsi="SimSun" w:eastAsia="SimSun" w:cs="SimSun"/>
          <w:sz w:val="20"/>
          <w:szCs w:val="20"/>
          <w:u w:val="single" w:color="auto"/>
          <w:spacing w:val="10"/>
        </w:rPr>
        <w:t>鉴于交易中心在本项目相关公告中提供的信息与本项目项下标的物存在客观分离的状态，所以除</w:t>
      </w:r>
      <w:r>
        <w:rPr>
          <w:rFonts w:ascii="SimSun" w:hAnsi="SimSun" w:eastAsia="SimSun" w:cs="SimSun"/>
          <w:sz w:val="20"/>
          <w:szCs w:val="20"/>
          <w:spacing w:val="18"/>
        </w:rPr>
        <w:t xml:space="preserve"> </w:t>
      </w:r>
      <w:r>
        <w:rPr>
          <w:rFonts w:ascii="SimSun" w:hAnsi="SimSun" w:eastAsia="SimSun" w:cs="SimSun"/>
          <w:sz w:val="20"/>
          <w:szCs w:val="20"/>
          <w:u w:val="single" w:color="auto"/>
          <w:spacing w:val="12"/>
        </w:rPr>
        <w:t>交易中心明示的特定情形外，交易中心不对本项目交易所涉任何主体(包括但不限于委托方、意向投</w:t>
      </w:r>
      <w:r>
        <w:rPr>
          <w:rFonts w:ascii="SimSun" w:hAnsi="SimSun" w:eastAsia="SimSun" w:cs="SimSun"/>
          <w:sz w:val="20"/>
          <w:szCs w:val="20"/>
          <w:spacing w:val="9"/>
        </w:rPr>
        <w:t xml:space="preserve"> </w:t>
      </w:r>
      <w:r>
        <w:rPr>
          <w:rFonts w:ascii="SimSun" w:hAnsi="SimSun" w:eastAsia="SimSun" w:cs="SimSun"/>
          <w:sz w:val="20"/>
          <w:szCs w:val="20"/>
          <w:spacing w:val="13"/>
        </w:rPr>
        <w:t>资人及其他第三方等)/或任何交易、交易能</w:t>
      </w:r>
      <w:r>
        <w:rPr>
          <w:rFonts w:ascii="SimSun" w:hAnsi="SimSun" w:eastAsia="SimSun" w:cs="SimSun"/>
          <w:sz w:val="20"/>
          <w:szCs w:val="20"/>
          <w:spacing w:val="12"/>
        </w:rPr>
        <w:t>否产生收益以及收益的大小提供任何担保或条件，无论</w:t>
      </w:r>
      <w:r>
        <w:rPr>
          <w:rFonts w:ascii="SimSun" w:hAnsi="SimSun" w:eastAsia="SimSun" w:cs="SimSun"/>
          <w:sz w:val="20"/>
          <w:szCs w:val="20"/>
        </w:rPr>
        <w:t xml:space="preserve">  </w:t>
      </w:r>
      <w:r>
        <w:rPr>
          <w:rFonts w:ascii="SimSun" w:hAnsi="SimSun" w:eastAsia="SimSun" w:cs="SimSun"/>
          <w:sz w:val="20"/>
          <w:szCs w:val="20"/>
          <w:u w:val="single" w:color="auto"/>
          <w:spacing w:val="8"/>
        </w:rPr>
        <w:t>是明示、默示或法定的。交易中心不能完全保证交易中心内容的真实性、充分性、可靠性、准确性、 </w:t>
      </w:r>
      <w:r>
        <w:rPr>
          <w:rFonts w:ascii="SimSun" w:hAnsi="SimSun" w:eastAsia="SimSun" w:cs="SimSun"/>
          <w:sz w:val="20"/>
          <w:szCs w:val="20"/>
          <w:spacing w:val="7"/>
        </w:rPr>
        <w:t xml:space="preserve"> </w:t>
      </w:r>
      <w:r>
        <w:rPr>
          <w:rFonts w:ascii="SimSun" w:hAnsi="SimSun" w:eastAsia="SimSun" w:cs="SimSun"/>
          <w:sz w:val="20"/>
          <w:szCs w:val="20"/>
          <w:u w:val="single" w:color="auto"/>
          <w:spacing w:val="8"/>
        </w:rPr>
        <w:t>完整性和有效性，也不承担任何由此引起的法律责任，对此，意向投资人必须谨慎判断。</w:t>
      </w:r>
      <w:r>
        <w:rPr>
          <w:rFonts w:ascii="SimSun" w:hAnsi="SimSun" w:eastAsia="SimSun" w:cs="SimSun"/>
          <w:sz w:val="20"/>
          <w:szCs w:val="20"/>
          <w:u w:val="single" w:color="auto"/>
          <w:spacing w:val="3"/>
        </w:rPr>
        <w:t xml:space="preserve">  </w:t>
      </w:r>
    </w:p>
    <w:p>
      <w:pPr>
        <w:ind w:left="860" w:right="834" w:firstLine="420"/>
        <w:spacing w:before="14" w:line="268" w:lineRule="auto"/>
        <w:rPr>
          <w:rFonts w:ascii="SimSun" w:hAnsi="SimSun" w:eastAsia="SimSun" w:cs="SimSun"/>
          <w:sz w:val="20"/>
          <w:szCs w:val="20"/>
        </w:rPr>
      </w:pPr>
      <w:r>
        <w:rPr>
          <w:rFonts w:ascii="SimSun" w:hAnsi="SimSun" w:eastAsia="SimSun" w:cs="SimSun"/>
          <w:sz w:val="20"/>
          <w:szCs w:val="20"/>
          <w:u w:val="single" w:color="auto"/>
          <w:spacing w:val="10"/>
        </w:rPr>
        <w:t>以上并不能揭示意向投资人通过交易中心进行交易的全部风险及市场的全部情形。意向投资人在</w:t>
      </w:r>
      <w:r>
        <w:rPr>
          <w:rFonts w:ascii="SimSun" w:hAnsi="SimSun" w:eastAsia="SimSun" w:cs="SimSun"/>
          <w:sz w:val="20"/>
          <w:szCs w:val="20"/>
        </w:rPr>
        <w:t xml:space="preserve"> </w:t>
      </w:r>
      <w:r>
        <w:rPr>
          <w:rFonts w:ascii="SimSun" w:hAnsi="SimSun" w:eastAsia="SimSun" w:cs="SimSun"/>
          <w:sz w:val="20"/>
          <w:szCs w:val="20"/>
          <w:u w:val="single" w:color="auto"/>
          <w:spacing w:val="10"/>
        </w:rPr>
        <w:t>作出交易决策前，应全面了解相关交易，根据自身的交易目标、风险承受能力和资产状况等谨慎决</w:t>
      </w:r>
    </w:p>
    <w:p>
      <w:pPr>
        <w:ind w:left="860"/>
        <w:spacing w:line="219" w:lineRule="auto"/>
        <w:rPr>
          <w:rFonts w:ascii="SimSun" w:hAnsi="SimSun" w:eastAsia="SimSun" w:cs="SimSun"/>
          <w:sz w:val="20"/>
          <w:szCs w:val="20"/>
        </w:rPr>
      </w:pPr>
      <w:r>
        <w:rPr>
          <w:rFonts w:ascii="SimSun" w:hAnsi="SimSun" w:eastAsia="SimSun" w:cs="SimSun"/>
          <w:sz w:val="20"/>
          <w:szCs w:val="20"/>
          <w:u w:val="single" w:color="auto"/>
          <w:spacing w:val="-1"/>
        </w:rPr>
        <w:t>策，并自行承担全部风险。</w:t>
      </w:r>
      <w:r>
        <w:rPr>
          <w:rFonts w:ascii="SimSun" w:hAnsi="SimSun" w:eastAsia="SimSun" w:cs="SimSun"/>
          <w:sz w:val="20"/>
          <w:szCs w:val="20"/>
          <w:u w:val="single" w:color="auto"/>
          <w:spacing w:val="5"/>
        </w:rPr>
        <w:t xml:space="preserve">  </w:t>
      </w:r>
    </w:p>
    <w:p>
      <w:pPr>
        <w:ind w:left="860" w:right="855" w:firstLine="420"/>
        <w:spacing w:before="60" w:line="275" w:lineRule="auto"/>
        <w:rPr>
          <w:rFonts w:ascii="SimSun" w:hAnsi="SimSun" w:eastAsia="SimSun" w:cs="SimSun"/>
          <w:sz w:val="19"/>
          <w:szCs w:val="19"/>
        </w:rPr>
      </w:pPr>
      <w:r>
        <w:rPr>
          <w:rFonts w:ascii="SimSun" w:hAnsi="SimSun" w:eastAsia="SimSun" w:cs="SimSun"/>
          <w:sz w:val="19"/>
          <w:szCs w:val="19"/>
          <w:spacing w:val="5"/>
        </w:rPr>
        <w:t>交易中心敬告各意向投资人，应当根据自身的经济条件、心理及风险承受能力谨慎</w:t>
      </w:r>
      <w:r>
        <w:rPr>
          <w:rFonts w:ascii="SimSun" w:hAnsi="SimSun" w:eastAsia="SimSun" w:cs="SimSun"/>
          <w:sz w:val="19"/>
          <w:szCs w:val="19"/>
          <w:spacing w:val="4"/>
        </w:rPr>
        <w:t>、理性参与交易，树</w:t>
      </w:r>
      <w:r>
        <w:rPr>
          <w:rFonts w:ascii="SimSun" w:hAnsi="SimSun" w:eastAsia="SimSun" w:cs="SimSun"/>
          <w:sz w:val="19"/>
          <w:szCs w:val="19"/>
        </w:rPr>
        <w:t xml:space="preserve"> </w:t>
      </w:r>
      <w:r>
        <w:rPr>
          <w:rFonts w:ascii="SimSun" w:hAnsi="SimSun" w:eastAsia="SimSun" w:cs="SimSun"/>
          <w:sz w:val="19"/>
          <w:szCs w:val="19"/>
          <w:spacing w:val="13"/>
        </w:rPr>
        <w:t>立正确投资理念，确保资金安全。</w:t>
      </w:r>
      <w:r>
        <w:rPr>
          <w:rFonts w:ascii="SimSun" w:hAnsi="SimSun" w:eastAsia="SimSun" w:cs="SimSun"/>
          <w:sz w:val="19"/>
          <w:szCs w:val="19"/>
          <w:spacing w:val="-12"/>
        </w:rPr>
        <w:t xml:space="preserve"> </w:t>
      </w:r>
      <w:r>
        <w:rPr>
          <w:rFonts w:ascii="SimSun" w:hAnsi="SimSun" w:eastAsia="SimSun" w:cs="SimSun"/>
          <w:sz w:val="19"/>
          <w:szCs w:val="19"/>
          <w:u w:val="single" w:color="auto"/>
          <w:spacing w:val="13"/>
        </w:rPr>
        <w:t>本风险提示书并不能揭示参与交易中心各项交易活动的全部风险及情</w:t>
      </w:r>
    </w:p>
    <w:p>
      <w:pPr>
        <w:pStyle w:val="BodyText"/>
        <w:spacing w:line="262" w:lineRule="auto"/>
        <w:rPr/>
      </w:pPr>
      <w:r/>
    </w:p>
    <w:p>
      <w:pPr>
        <w:pStyle w:val="BodyText"/>
        <w:spacing w:line="262" w:lineRule="auto"/>
        <w:rPr/>
      </w:pPr>
      <w:r/>
    </w:p>
    <w:p>
      <w:pPr>
        <w:pStyle w:val="BodyText"/>
        <w:spacing w:before="49" w:line="226" w:lineRule="exact"/>
        <w:jc w:val="right"/>
        <w:rPr>
          <w:sz w:val="14"/>
          <w:szCs w:val="14"/>
        </w:rPr>
      </w:pPr>
      <w:hyperlink w:history="true" r:id="rId25">
        <w:r>
          <w:rPr>
            <w:sz w:val="17"/>
            <w:szCs w:val="17"/>
            <w:spacing w:val="-5"/>
            <w:position w:val="2"/>
          </w:rPr>
          <w:t>https://biz.fjcqjy.com/#/projectDetail/e2d4d8240d5b4a77b8124a80a2906a92.html</w:t>
        </w:r>
        <w:r>
          <w:rPr>
            <w:sz w:val="17"/>
            <w:szCs w:val="17"/>
            <w:spacing w:val="1"/>
            <w:position w:val="2"/>
          </w:rPr>
          <w:t xml:space="preserve">                                            </w:t>
        </w:r>
        <w:r>
          <w:rPr>
            <w:sz w:val="17"/>
            <w:szCs w:val="17"/>
            <w:position w:val="2"/>
          </w:rPr>
          <w:t xml:space="preserve">                                                          </w:t>
        </w:r>
        <w:r>
          <w:rPr>
            <w:sz w:val="14"/>
            <w:szCs w:val="14"/>
            <w:spacing w:val="-5"/>
            <w:position w:val="2"/>
          </w:rPr>
          <w:t>11/12</w:t>
        </w:r>
      </w:hyperlink>
    </w:p>
    <w:p>
      <w:pPr>
        <w:spacing w:line="226" w:lineRule="exact"/>
        <w:sectPr>
          <w:headerReference w:type="default" r:id="rId22"/>
          <w:footerReference w:type="default" r:id="rId23"/>
          <w:pgSz w:w="11910" w:h="16840"/>
          <w:pgMar w:top="500" w:right="525" w:bottom="266" w:left="449" w:header="238" w:footer="0" w:gutter="0"/>
        </w:sectPr>
        <w:rPr>
          <w:sz w:val="14"/>
          <w:szCs w:val="14"/>
        </w:rPr>
      </w:pPr>
    </w:p>
    <w:p>
      <w:pPr>
        <w:spacing w:before="76"/>
        <w:rPr/>
      </w:pPr>
      <w:r/>
    </w:p>
    <w:p>
      <w:pPr>
        <w:spacing w:before="75"/>
        <w:rPr/>
      </w:pPr>
      <w:r/>
    </w:p>
    <w:tbl>
      <w:tblPr>
        <w:tblStyle w:val="TableNormal"/>
        <w:tblW w:w="9639" w:type="dxa"/>
        <w:tblInd w:w="69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9639"/>
      </w:tblGrid>
      <w:tr>
        <w:trPr>
          <w:trHeight w:val="202" w:hRule="atLeast"/>
        </w:trPr>
        <w:tc>
          <w:tcPr>
            <w:tcW w:w="9639" w:type="dxa"/>
            <w:vAlign w:val="top"/>
          </w:tcPr>
          <w:p>
            <w:pPr>
              <w:pStyle w:val="TableText"/>
              <w:ind w:left="187"/>
              <w:spacing w:before="9" w:line="168" w:lineRule="auto"/>
              <w:rPr>
                <w:sz w:val="20"/>
                <w:szCs w:val="20"/>
              </w:rPr>
            </w:pPr>
            <w:r>
              <w:rPr>
                <w:sz w:val="20"/>
                <w:szCs w:val="20"/>
                <w:b/>
                <w:bCs/>
                <w:spacing w:val="-3"/>
              </w:rPr>
              <w:t>形，意向投资人务必对此有清醒认识，审慎做出各项交易决策。</w:t>
            </w:r>
          </w:p>
        </w:tc>
      </w:tr>
      <w:tr>
        <w:trPr>
          <w:trHeight w:val="527" w:hRule="atLeast"/>
        </w:trPr>
        <w:tc>
          <w:tcPr>
            <w:tcW w:w="9639" w:type="dxa"/>
            <w:vAlign w:val="top"/>
          </w:tcPr>
          <w:p>
            <w:pPr>
              <w:pStyle w:val="TableText"/>
              <w:ind w:left="587"/>
              <w:spacing w:before="168" w:line="219" w:lineRule="auto"/>
              <w:rPr>
                <w:sz w:val="20"/>
                <w:szCs w:val="20"/>
              </w:rPr>
            </w:pPr>
            <w:r>
              <w:rPr>
                <w:sz w:val="20"/>
                <w:szCs w:val="20"/>
                <w:b/>
                <w:bCs/>
              </w:rPr>
              <w:t>投资有风险，交易须谨慎!</w:t>
            </w:r>
          </w:p>
        </w:tc>
      </w:tr>
    </w:tbl>
    <w:p>
      <w:pPr>
        <w:pStyle w:val="BodyText"/>
        <w:rPr/>
      </w:pPr>
      <w:r/>
    </w:p>
    <w:sectPr>
      <w:headerReference w:type="default" r:id="rId20"/>
      <w:footerReference w:type="default" r:id="rId26"/>
      <w:pgSz w:w="11910" w:h="16840"/>
      <w:pgMar w:top="500" w:right="521" w:bottom="467" w:left="449" w:header="238" w:footer="262"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Times New Roman">
    <w:panose1 w:val="02020603050405020304"/>
    <w:charset w:val="00"/>
    <w:family w:val="auto"/>
    <w:pitch w:val="variable"/>
    <w:sig w:usb0="E0002EFF" w:usb1="C000785B" w:usb2="00000009" w:usb3="00000000" w:csb0="400001FF" w:csb1="FFFF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94" w:lineRule="exact"/>
      <w:jc w:val="right"/>
      <w:rPr>
        <w:sz w:val="15"/>
        <w:szCs w:val="15"/>
      </w:rPr>
    </w:pPr>
    <w:hyperlink w:history="true" r:id="rId1">
      <w:r>
        <w:rPr>
          <w:sz w:val="15"/>
          <w:szCs w:val="15"/>
          <w:position w:val="2"/>
        </w:rPr>
        <w:t>https://biz.fjcqiy.com/#/projectDetail/e2d4d8240d5b4a77b8124a80a2906a92.html                                                                                                         </w:t>
      </w:r>
      <w:r>
        <w:rPr>
          <w:sz w:val="15"/>
          <w:szCs w:val="15"/>
          <w:spacing w:val="-1"/>
          <w:position w:val="2"/>
        </w:rPr>
        <w:t xml:space="preserve">                      2/12</w:t>
      </w:r>
    </w:hyperlink>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94" w:lineRule="exact"/>
      <w:jc w:val="right"/>
      <w:rPr>
        <w:sz w:val="15"/>
        <w:szCs w:val="15"/>
      </w:rPr>
    </w:pPr>
    <w:hyperlink w:history="true" r:id="rId1">
      <w:r>
        <w:rPr>
          <w:sz w:val="15"/>
          <w:szCs w:val="15"/>
          <w:position w:val="2"/>
        </w:rPr>
        <w:t>https://biz.fjcqiy.com/#/projectDetail/e2d4d8240d5b4a77b8124a80a2906a92.html                                                                                               </w:t>
      </w:r>
      <w:r>
        <w:rPr>
          <w:sz w:val="15"/>
          <w:szCs w:val="15"/>
          <w:spacing w:val="-1"/>
          <w:position w:val="2"/>
        </w:rPr>
        <w:t xml:space="preserve">                              12/12</w:t>
      </w:r>
    </w:hyperlink>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94" w:lineRule="exact"/>
      <w:jc w:val="right"/>
      <w:rPr>
        <w:sz w:val="15"/>
        <w:szCs w:val="15"/>
      </w:rPr>
    </w:pPr>
    <w:hyperlink w:history="true" r:id="rId1">
      <w:r>
        <w:rPr>
          <w:sz w:val="15"/>
          <w:szCs w:val="15"/>
          <w:position w:val="2"/>
        </w:rPr>
        <w:t>https://biz.fjcqiy.com/#/projectDetail/e2d4d8240d5b4a77b8124a80a2906a92.html                                                                                                       </w:t>
      </w:r>
      <w:r>
        <w:rPr>
          <w:sz w:val="15"/>
          <w:szCs w:val="15"/>
          <w:spacing w:val="-1"/>
          <w:position w:val="2"/>
        </w:rPr>
        <w:t xml:space="preserve">                        3/12</w:t>
      </w:r>
    </w:hyperlink>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94" w:lineRule="exact"/>
      <w:jc w:val="right"/>
      <w:rPr>
        <w:sz w:val="15"/>
        <w:szCs w:val="15"/>
      </w:rPr>
    </w:pPr>
    <w:hyperlink w:history="true" r:id="rId1">
      <w:r>
        <w:rPr>
          <w:sz w:val="15"/>
          <w:szCs w:val="15"/>
          <w:position w:val="2"/>
        </w:rPr>
        <w:t>https://biz.fjcqiy.com/#/projectDetail/e2d4d8240d5b4a77b8124a80a2906a92.html                                                                                                            </w:t>
      </w:r>
      <w:r>
        <w:rPr>
          <w:sz w:val="15"/>
          <w:szCs w:val="15"/>
          <w:spacing w:val="-1"/>
          <w:position w:val="2"/>
        </w:rPr>
        <w:t xml:space="preserve">                   4/12</w:t>
      </w:r>
    </w:hyperlink>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94" w:lineRule="exact"/>
      <w:jc w:val="right"/>
      <w:rPr>
        <w:sz w:val="15"/>
        <w:szCs w:val="15"/>
      </w:rPr>
    </w:pPr>
    <w:hyperlink w:history="true" r:id="rId1">
      <w:r>
        <w:rPr>
          <w:sz w:val="15"/>
          <w:szCs w:val="15"/>
          <w:position w:val="2"/>
        </w:rPr>
        <w:t>https://biz.fjcqiy.com/#/projectDetail/e2d4d8240d5b4a77b8124a80a2906a92.html                                                                                                       </w:t>
      </w:r>
      <w:r>
        <w:rPr>
          <w:sz w:val="15"/>
          <w:szCs w:val="15"/>
          <w:spacing w:val="-1"/>
          <w:position w:val="2"/>
        </w:rPr>
        <w:t xml:space="preserve">                        5/12</w:t>
      </w:r>
    </w:hyperlink>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94" w:lineRule="exact"/>
      <w:jc w:val="right"/>
      <w:rPr>
        <w:sz w:val="15"/>
        <w:szCs w:val="15"/>
      </w:rPr>
    </w:pPr>
    <w:hyperlink w:history="true" r:id="rId1">
      <w:r>
        <w:rPr>
          <w:sz w:val="15"/>
          <w:szCs w:val="15"/>
          <w:position w:val="2"/>
        </w:rPr>
        <w:t>https://biz.fjcqiy.com/#/projectDetail/e2d4d8240d5b4a77b8124a80a2906a92.html                                                                                                        </w:t>
      </w:r>
      <w:r>
        <w:rPr>
          <w:sz w:val="15"/>
          <w:szCs w:val="15"/>
          <w:spacing w:val="-1"/>
          <w:position w:val="2"/>
        </w:rPr>
        <w:t xml:space="preserve">                       6/12</w:t>
      </w:r>
    </w:hyperlink>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94" w:lineRule="exact"/>
      <w:jc w:val="right"/>
      <w:rPr>
        <w:sz w:val="15"/>
        <w:szCs w:val="15"/>
      </w:rPr>
    </w:pPr>
    <w:hyperlink w:history="true" r:id="rId1">
      <w:r>
        <w:rPr>
          <w:sz w:val="15"/>
          <w:szCs w:val="15"/>
          <w:position w:val="2"/>
        </w:rPr>
        <w:t>https://biz.fjcqiy.com/#/projectDetail/e2d4d8240d5b4a77b8124a80a2906a92.html                                                                                                      </w:t>
      </w:r>
      <w:r>
        <w:rPr>
          <w:sz w:val="15"/>
          <w:szCs w:val="15"/>
          <w:spacing w:val="-1"/>
          <w:position w:val="2"/>
        </w:rPr>
        <w:t xml:space="preserve">                         7/12</w:t>
      </w:r>
    </w:hyperlink>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94" w:lineRule="exact"/>
      <w:jc w:val="right"/>
      <w:rPr>
        <w:sz w:val="14"/>
        <w:szCs w:val="14"/>
      </w:rPr>
    </w:pPr>
    <w:hyperlink w:history="true" r:id="rId1">
      <w:r>
        <w:rPr>
          <w:sz w:val="15"/>
          <w:szCs w:val="15"/>
          <w:position w:val="2"/>
        </w:rPr>
        <w:t>https://biz.fjcqiy.com/#/projectDetail/e2d4d8240d5b4a77b8124a80a2906a92.html                                                                                                        </w:t>
      </w:r>
      <w:r>
        <w:rPr>
          <w:sz w:val="15"/>
          <w:szCs w:val="15"/>
          <w:spacing w:val="-1"/>
          <w:position w:val="2"/>
        </w:rPr>
        <w:t xml:space="preserve">                       </w:t>
      </w:r>
      <w:r>
        <w:rPr>
          <w:sz w:val="14"/>
          <w:szCs w:val="14"/>
          <w:spacing w:val="-1"/>
          <w:position w:val="2"/>
        </w:rPr>
        <w:t>8/12</w:t>
      </w:r>
    </w:hyperlink>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94" w:lineRule="exact"/>
      <w:jc w:val="right"/>
      <w:rPr>
        <w:sz w:val="15"/>
        <w:szCs w:val="15"/>
      </w:rPr>
    </w:pPr>
    <w:hyperlink w:history="true" r:id="rId1">
      <w:r>
        <w:rPr>
          <w:sz w:val="15"/>
          <w:szCs w:val="15"/>
          <w:position w:val="2"/>
        </w:rPr>
        <w:t>https://biz.fjcqiy.com/#/projectDetail/e2d4d8240d5b4a77b8124a80a2906a92.html                                                                                                       </w:t>
      </w:r>
      <w:r>
        <w:rPr>
          <w:sz w:val="15"/>
          <w:szCs w:val="15"/>
          <w:spacing w:val="-1"/>
          <w:position w:val="2"/>
        </w:rPr>
        <w:t xml:space="preserve">                        9/12</w:t>
      </w:r>
    </w:hyperlink>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94" w:lineRule="exact"/>
      <w:jc w:val="right"/>
      <w:rPr>
        <w:sz w:val="15"/>
        <w:szCs w:val="15"/>
      </w:rPr>
    </w:pPr>
    <w:hyperlink w:history="true" r:id="rId1">
      <w:r>
        <w:rPr>
          <w:sz w:val="15"/>
          <w:szCs w:val="15"/>
          <w:position w:val="2"/>
        </w:rPr>
        <w:t>https://biz.fjcqiy.com/#/projectDetail/e2d4d8240d5b4a77b8124a80a2906a92.html                                                                                               </w:t>
      </w:r>
      <w:r>
        <w:rPr>
          <w:sz w:val="15"/>
          <w:szCs w:val="15"/>
          <w:spacing w:val="-1"/>
          <w:position w:val="2"/>
        </w:rPr>
        <w:t xml:space="preserve">                              10/12</w:t>
      </w:r>
    </w:hyperlink>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before="12" w:line="237" w:lineRule="exact"/>
      <w:rPr>
        <w:rFonts w:ascii="SimHei" w:hAnsi="SimHei" w:eastAsia="SimHei" w:cs="SimHei"/>
        <w:sz w:val="17"/>
        <w:szCs w:val="17"/>
      </w:rPr>
    </w:pPr>
    <w:r>
      <w:rPr>
        <w:sz w:val="17"/>
        <w:szCs w:val="17"/>
        <w:spacing w:val="-2"/>
        <w:position w:val="3"/>
      </w:rPr>
      <w:t>2026/7/2911:38                               </w:t>
    </w:r>
    <w:r>
      <w:rPr>
        <w:sz w:val="17"/>
        <w:szCs w:val="17"/>
        <w:spacing w:val="-3"/>
        <w:position w:val="3"/>
      </w:rPr>
      <w:t xml:space="preserve">                                      </w:t>
    </w:r>
    <w:r>
      <w:rPr>
        <w:rFonts w:ascii="SimHei" w:hAnsi="SimHei" w:eastAsia="SimHei" w:cs="SimHei"/>
        <w:sz w:val="17"/>
        <w:szCs w:val="17"/>
        <w:spacing w:val="-3"/>
        <w:position w:val="1"/>
      </w:rPr>
      <w:t>福州市晋安区官前路一层一层1#、二层、一层一层2#招租</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before="12" w:line="237" w:lineRule="exact"/>
      <w:rPr>
        <w:rFonts w:ascii="SimHei" w:hAnsi="SimHei" w:eastAsia="SimHei" w:cs="SimHei"/>
        <w:sz w:val="17"/>
        <w:szCs w:val="17"/>
      </w:rPr>
    </w:pPr>
    <w:r>
      <w:rPr>
        <w:sz w:val="17"/>
        <w:szCs w:val="17"/>
        <w:spacing w:val="-2"/>
        <w:position w:val="3"/>
      </w:rPr>
      <w:t>2026/7/2911:38                               </w:t>
    </w:r>
    <w:r>
      <w:rPr>
        <w:sz w:val="17"/>
        <w:szCs w:val="17"/>
        <w:spacing w:val="-3"/>
        <w:position w:val="3"/>
      </w:rPr>
      <w:t xml:space="preserve">                                      </w:t>
    </w:r>
    <w:r>
      <w:rPr>
        <w:rFonts w:ascii="SimHei" w:hAnsi="SimHei" w:eastAsia="SimHei" w:cs="SimHei"/>
        <w:sz w:val="17"/>
        <w:szCs w:val="17"/>
        <w:spacing w:val="-3"/>
        <w:position w:val="1"/>
      </w:rPr>
      <w:t>福州市晋安区官前路一层一层1#、二层、一层一层2#招租</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before="12" w:line="237" w:lineRule="exact"/>
      <w:rPr>
        <w:rFonts w:ascii="SimHei" w:hAnsi="SimHei" w:eastAsia="SimHei" w:cs="SimHei"/>
        <w:sz w:val="17"/>
        <w:szCs w:val="17"/>
      </w:rPr>
    </w:pPr>
    <w:r>
      <w:rPr>
        <w:sz w:val="17"/>
        <w:szCs w:val="17"/>
        <w:spacing w:val="-2"/>
        <w:position w:val="3"/>
      </w:rPr>
      <w:t>2026/7/2911:38                               </w:t>
    </w:r>
    <w:r>
      <w:rPr>
        <w:sz w:val="17"/>
        <w:szCs w:val="17"/>
        <w:spacing w:val="-3"/>
        <w:position w:val="3"/>
      </w:rPr>
      <w:t xml:space="preserve">                                      </w:t>
    </w:r>
    <w:r>
      <w:rPr>
        <w:rFonts w:ascii="SimHei" w:hAnsi="SimHei" w:eastAsia="SimHei" w:cs="SimHei"/>
        <w:sz w:val="17"/>
        <w:szCs w:val="17"/>
        <w:spacing w:val="-3"/>
        <w:position w:val="1"/>
      </w:rPr>
      <w:t>福州市晋安区官前路一层一层1#、二层、一层一层2#招租</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before="12" w:line="237" w:lineRule="exact"/>
      <w:rPr>
        <w:rFonts w:ascii="SimHei" w:hAnsi="SimHei" w:eastAsia="SimHei" w:cs="SimHei"/>
        <w:sz w:val="17"/>
        <w:szCs w:val="17"/>
      </w:rPr>
    </w:pPr>
    <w:r>
      <w:rPr>
        <w:sz w:val="17"/>
        <w:szCs w:val="17"/>
        <w:spacing w:val="-2"/>
        <w:position w:val="3"/>
      </w:rPr>
      <w:t>2026/7/2911:38                               </w:t>
    </w:r>
    <w:r>
      <w:rPr>
        <w:sz w:val="17"/>
        <w:szCs w:val="17"/>
        <w:spacing w:val="-3"/>
        <w:position w:val="3"/>
      </w:rPr>
      <w:t xml:space="preserve">                                      </w:t>
    </w:r>
    <w:r>
      <w:rPr>
        <w:rFonts w:ascii="SimHei" w:hAnsi="SimHei" w:eastAsia="SimHei" w:cs="SimHei"/>
        <w:sz w:val="17"/>
        <w:szCs w:val="17"/>
        <w:spacing w:val="-3"/>
        <w:position w:val="1"/>
      </w:rPr>
      <w:t>福州市晋安区官前路一层一层1#、二层、一层一层2#招租</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before="12" w:line="237" w:lineRule="exact"/>
      <w:rPr>
        <w:rFonts w:ascii="SimHei" w:hAnsi="SimHei" w:eastAsia="SimHei" w:cs="SimHei"/>
        <w:sz w:val="17"/>
        <w:szCs w:val="17"/>
      </w:rPr>
    </w:pPr>
    <w:r>
      <w:rPr>
        <w:sz w:val="17"/>
        <w:szCs w:val="17"/>
        <w:spacing w:val="-2"/>
        <w:position w:val="3"/>
      </w:rPr>
      <w:t>2026/7/2911:38                               </w:t>
    </w:r>
    <w:r>
      <w:rPr>
        <w:sz w:val="17"/>
        <w:szCs w:val="17"/>
        <w:spacing w:val="-3"/>
        <w:position w:val="3"/>
      </w:rPr>
      <w:t xml:space="preserve">                                      </w:t>
    </w:r>
    <w:r>
      <w:rPr>
        <w:rFonts w:ascii="SimHei" w:hAnsi="SimHei" w:eastAsia="SimHei" w:cs="SimHei"/>
        <w:sz w:val="17"/>
        <w:szCs w:val="17"/>
        <w:spacing w:val="-3"/>
        <w:position w:val="1"/>
      </w:rPr>
      <w:t>福州市晋安区官前路一层一层1#、二层、一层一层2#招租</w:t>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before="12" w:line="237" w:lineRule="exact"/>
      <w:rPr>
        <w:rFonts w:ascii="SimHei" w:hAnsi="SimHei" w:eastAsia="SimHei" w:cs="SimHei"/>
        <w:sz w:val="17"/>
        <w:szCs w:val="17"/>
      </w:rPr>
    </w:pPr>
    <w:r>
      <w:rPr>
        <w:sz w:val="17"/>
        <w:szCs w:val="17"/>
        <w:spacing w:val="-2"/>
        <w:position w:val="3"/>
      </w:rPr>
      <w:t>2026/7/2911:38                               </w:t>
    </w:r>
    <w:r>
      <w:rPr>
        <w:sz w:val="17"/>
        <w:szCs w:val="17"/>
        <w:spacing w:val="-3"/>
        <w:position w:val="3"/>
      </w:rPr>
      <w:t xml:space="preserve">                                      </w:t>
    </w:r>
    <w:r>
      <w:rPr>
        <w:rFonts w:ascii="SimHei" w:hAnsi="SimHei" w:eastAsia="SimHei" w:cs="SimHei"/>
        <w:sz w:val="17"/>
        <w:szCs w:val="17"/>
        <w:spacing w:val="-3"/>
        <w:position w:val="1"/>
      </w:rPr>
      <w:t>福州市晋安区官前路一层一层1#、二层、一层一层2#招租</w:t>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before="12" w:line="237" w:lineRule="exact"/>
      <w:rPr>
        <w:rFonts w:ascii="SimHei" w:hAnsi="SimHei" w:eastAsia="SimHei" w:cs="SimHei"/>
        <w:sz w:val="17"/>
        <w:szCs w:val="17"/>
      </w:rPr>
    </w:pPr>
    <w:r>
      <w:rPr>
        <w:sz w:val="17"/>
        <w:szCs w:val="17"/>
        <w:spacing w:val="-2"/>
        <w:position w:val="3"/>
      </w:rPr>
      <w:t>2026/7/2911:38                               </w:t>
    </w:r>
    <w:r>
      <w:rPr>
        <w:sz w:val="17"/>
        <w:szCs w:val="17"/>
        <w:spacing w:val="-3"/>
        <w:position w:val="3"/>
      </w:rPr>
      <w:t xml:space="preserve">                                      </w:t>
    </w:r>
    <w:r>
      <w:rPr>
        <w:rFonts w:ascii="SimHei" w:hAnsi="SimHei" w:eastAsia="SimHei" w:cs="SimHei"/>
        <w:sz w:val="17"/>
        <w:szCs w:val="17"/>
        <w:spacing w:val="-3"/>
        <w:position w:val="1"/>
      </w:rPr>
      <w:t>福州市晋安区官前路一层一层1#、二层、一层一层2#招租</w:t>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before="12" w:line="237" w:lineRule="exact"/>
      <w:rPr>
        <w:rFonts w:ascii="SimHei" w:hAnsi="SimHei" w:eastAsia="SimHei" w:cs="SimHei"/>
        <w:sz w:val="17"/>
        <w:szCs w:val="17"/>
      </w:rPr>
    </w:pPr>
    <w:r>
      <w:rPr>
        <w:sz w:val="17"/>
        <w:szCs w:val="17"/>
        <w:spacing w:val="-2"/>
        <w:position w:val="3"/>
      </w:rPr>
      <w:t>2026/7/2911:38                               </w:t>
    </w:r>
    <w:r>
      <w:rPr>
        <w:sz w:val="17"/>
        <w:szCs w:val="17"/>
        <w:spacing w:val="-3"/>
        <w:position w:val="3"/>
      </w:rPr>
      <w:t xml:space="preserve">                                      </w:t>
    </w:r>
    <w:r>
      <w:rPr>
        <w:rFonts w:ascii="SimHei" w:hAnsi="SimHei" w:eastAsia="SimHei" w:cs="SimHei"/>
        <w:sz w:val="17"/>
        <w:szCs w:val="17"/>
        <w:spacing w:val="-3"/>
        <w:position w:val="1"/>
      </w:rPr>
      <w:t>福州市晋安区官前路一层一层1#、二层、一层一层2#招租</w:t>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TableText">
    <w:name w:val="Table Text"/>
    <w:basedOn w:val="Normal"/>
    <w:semiHidden/>
    <w:qFormat/>
    <w:pPr/>
    <w:rPr>
      <w:rFonts w:ascii="SimSun" w:hAnsi="SimSun" w:eastAsia="SimSun" w:cs="SimSun"/>
      <w:sz w:val="22"/>
      <w:szCs w:val="22"/>
      <w:lang w:val="en-US" w:eastAsia="en-US" w:bidi="ar-SA"/>
    </w:rPr>
  </w:style>
  <w:style w:type="paragraph" w:styleId="BodyText">
    <w:name w:val="Body Text"/>
    <w:basedOn w:val="Normal"/>
    <w:semiHidden/>
    <w:qFormat/>
    <w:pPr/>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yperlink" Target="http://zxgk.court.gov.cn/" TargetMode="Externa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yperlink" Target="http://www.fjcqjy.com" TargetMode="External"/><Relationship Id="rId5" Type="http://schemas.openxmlformats.org/officeDocument/2006/relationships/footer" Target="footer2.xml"/><Relationship Id="rId4" Type="http://schemas.openxmlformats.org/officeDocument/2006/relationships/header" Target="header2.xml"/><Relationship Id="rId3" Type="http://schemas.openxmlformats.org/officeDocument/2006/relationships/footer" Target="footer1.xml"/><Relationship Id="rId29" Type="http://schemas.openxmlformats.org/officeDocument/2006/relationships/fontTable" Target="fontTable.xml"/><Relationship Id="rId28" Type="http://schemas.openxmlformats.org/officeDocument/2006/relationships/styles" Target="styles.xml"/><Relationship Id="rId27" Type="http://schemas.openxmlformats.org/officeDocument/2006/relationships/settings" Target="settings.xml"/><Relationship Id="rId26" Type="http://schemas.openxmlformats.org/officeDocument/2006/relationships/footer" Target="footer11.xml"/><Relationship Id="rId25" Type="http://schemas.openxmlformats.org/officeDocument/2006/relationships/hyperlink" Target="https://biz.fjcqjy.com/#/projectDetail/e2d4d8240d5b4a77b8124a80a2906a92.html11/12" TargetMode="External"/><Relationship Id="rId24" Type="http://schemas.openxmlformats.org/officeDocument/2006/relationships/image" Target="media/image1.png"/><Relationship Id="rId23" Type="http://schemas.openxmlformats.org/officeDocument/2006/relationships/footer" Target="footer10.xml"/><Relationship Id="rId22" Type="http://schemas.openxmlformats.org/officeDocument/2006/relationships/header" Target="header8.xml"/><Relationship Id="rId21" Type="http://schemas.openxmlformats.org/officeDocument/2006/relationships/footer" Target="footer9.xml"/><Relationship Id="rId20" Type="http://schemas.openxmlformats.org/officeDocument/2006/relationships/header" Target="header7.xml"/><Relationship Id="rId2" Type="http://schemas.openxmlformats.org/officeDocument/2006/relationships/header" Target="header1.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6.xml"/><Relationship Id="rId16" Type="http://schemas.openxmlformats.org/officeDocument/2006/relationships/hyperlink" Target="https://biz.fjcqjy.com/#/Login" TargetMode="Externa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yperlink" Target="https://biz.fjcqjy.com/#/login" TargetMode="External"/><Relationship Id="rId1" Type="http://schemas.openxmlformats.org/officeDocument/2006/relationships/hyperlink" Target="https://biz.fjcqiy.com/#/projectDetail/e2d4d8240d5b4a77b8124a80a2906a92.html1/1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biz.fjcqiy.com/#/projectDetail/e2d4d8240d5b4a77b8124a80a2906a92.html2/12"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biz.fjcqiy.com/#/projectDetail/e2d4d8240d5b4a77b8124a80a2906a92.html12/12"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biz.fjcqiy.com/#/projectDetail/e2d4d8240d5b4a77b8124a80a2906a92.html3/12"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biz.fjcqiy.com/#/projectDetail/e2d4d8240d5b4a77b8124a80a2906a92.html4/12"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biz.fjcqiy.com/#/projectDetail/e2d4d8240d5b4a77b8124a80a2906a92.html5/12"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biz.fjcqiy.com/#/projectDetail/e2d4d8240d5b4a77b8124a80a2906a92.html6/12"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biz.fjcqiy.com/#/projectDetail/e2d4d8240d5b4a77b8124a80a2906a92.html7/12"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biz.fjcqiy.com/#/projectDetail/e2d4d8240d5b4a77b8124a80a2906a92.html8/12"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biz.fjcqiy.com/#/projectDetail/e2d4d8240d5b4a77b8124a80a2906a92.html9/12"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biz.fjcqiy.com/#/projectDetail/e2d4d8240d5b4a77b8124a80a2906a92.html10/12" TargetMode="External"/></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2026-07-29T11:43:05Z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2026-07-29T11:43:07</vt:filetime>
  </property>
  <property fmtid="{D5CDD505-2E9C-101B-9397-08002B2CF9AE}" pid="4" name="UsrData">
    <vt:lpwstr>6a6976c49a0cba0020fdb4c6wl</vt:lpwstr>
  </property>
</Properties>
</file>